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93" w:rsidRDefault="003E7993">
      <w:pPr>
        <w:spacing w:after="40" w:line="240" w:lineRule="exact"/>
      </w:pPr>
    </w:p>
    <w:p w:rsidR="003E7993" w:rsidRDefault="00930774">
      <w:pPr>
        <w:ind w:left="3760" w:right="376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pt;height:77.2pt">
            <v:imagedata r:id="rId6" o:title=""/>
            <o:lock v:ext="edit" aspectratio="f"/>
          </v:shape>
        </w:pict>
      </w:r>
    </w:p>
    <w:p w:rsidR="003E7993" w:rsidRDefault="003E7993">
      <w:pPr>
        <w:spacing w:after="160" w:line="240" w:lineRule="exact"/>
      </w:pPr>
    </w:p>
    <w:tbl>
      <w:tblPr>
        <w:tblW w:w="0" w:type="auto"/>
        <w:tblInd w:w="20" w:type="dxa"/>
        <w:tblLayout w:type="fixed"/>
        <w:tblLook w:val="04A0" w:firstRow="1" w:lastRow="0" w:firstColumn="1" w:lastColumn="0" w:noHBand="0" w:noVBand="1"/>
      </w:tblPr>
      <w:tblGrid>
        <w:gridCol w:w="9620"/>
      </w:tblGrid>
      <w:tr w:rsidR="003E7993">
        <w:tc>
          <w:tcPr>
            <w:tcW w:w="9620" w:type="dxa"/>
            <w:shd w:val="clear" w:color="666553" w:fill="666553"/>
            <w:tcMar>
              <w:top w:w="40" w:type="dxa"/>
              <w:left w:w="0" w:type="dxa"/>
              <w:bottom w:w="0" w:type="dxa"/>
              <w:right w:w="0" w:type="dxa"/>
            </w:tcMar>
            <w:vAlign w:val="center"/>
          </w:tcPr>
          <w:p w:rsidR="003E7993" w:rsidRDefault="00930774">
            <w:pPr>
              <w:jc w:val="center"/>
              <w:rPr>
                <w:rFonts w:ascii="Trebuchet MS" w:eastAsia="Trebuchet MS" w:hAnsi="Trebuchet MS" w:cs="Trebuchet MS"/>
                <w:b/>
                <w:color w:val="FFFFFF"/>
                <w:sz w:val="28"/>
                <w:lang w:val="fr-FR"/>
              </w:rPr>
            </w:pPr>
            <w:r>
              <w:rPr>
                <w:rFonts w:ascii="Trebuchet MS" w:eastAsia="Trebuchet MS" w:hAnsi="Trebuchet MS" w:cs="Trebuchet MS"/>
                <w:b/>
                <w:color w:val="FFFFFF"/>
                <w:sz w:val="28"/>
                <w:lang w:val="fr-FR"/>
              </w:rPr>
              <w:t>RÈGLEMENT DE LA CONSULTATION</w:t>
            </w:r>
          </w:p>
        </w:tc>
      </w:tr>
    </w:tbl>
    <w:p w:rsidR="003E7993" w:rsidRDefault="00930774">
      <w:pPr>
        <w:spacing w:line="240" w:lineRule="exact"/>
      </w:pPr>
      <w:r>
        <w:t xml:space="preserve"> </w:t>
      </w:r>
    </w:p>
    <w:p w:rsidR="003E7993" w:rsidRDefault="003E7993">
      <w:pPr>
        <w:spacing w:after="220" w:line="240" w:lineRule="exact"/>
      </w:pPr>
    </w:p>
    <w:p w:rsidR="003E7993" w:rsidRDefault="00930774">
      <w:pPr>
        <w:spacing w:before="40"/>
        <w:ind w:left="20" w:right="20"/>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ACCORD-CADRE DE FOURNITURES COURANTES ET DE SERVICES</w:t>
      </w:r>
    </w:p>
    <w:p w:rsidR="003E7993" w:rsidRDefault="003E7993">
      <w:pPr>
        <w:spacing w:line="240" w:lineRule="exact"/>
      </w:pPr>
    </w:p>
    <w:p w:rsidR="003E7993" w:rsidRDefault="003E7993">
      <w:pPr>
        <w:spacing w:line="240" w:lineRule="exact"/>
      </w:pPr>
    </w:p>
    <w:p w:rsidR="003E7993" w:rsidRDefault="003E7993">
      <w:pPr>
        <w:spacing w:line="240" w:lineRule="exact"/>
      </w:pPr>
    </w:p>
    <w:p w:rsidR="003E7993" w:rsidRDefault="003E7993">
      <w:pPr>
        <w:spacing w:line="240" w:lineRule="exact"/>
      </w:pPr>
    </w:p>
    <w:p w:rsidR="003E7993" w:rsidRDefault="003E7993">
      <w:pPr>
        <w:spacing w:line="240" w:lineRule="exact"/>
      </w:pPr>
    </w:p>
    <w:p w:rsidR="003E7993" w:rsidRDefault="003E7993">
      <w:pPr>
        <w:spacing w:line="240" w:lineRule="exact"/>
      </w:pPr>
    </w:p>
    <w:p w:rsidR="003E7993" w:rsidRDefault="003E7993">
      <w:pPr>
        <w:spacing w:line="240" w:lineRule="exact"/>
      </w:pPr>
    </w:p>
    <w:p w:rsidR="003E7993" w:rsidRDefault="003E7993">
      <w:pPr>
        <w:spacing w:after="180" w:line="240" w:lineRule="exact"/>
      </w:pPr>
    </w:p>
    <w:tbl>
      <w:tblPr>
        <w:tblW w:w="0" w:type="auto"/>
        <w:tblInd w:w="1280" w:type="dxa"/>
        <w:tblLayout w:type="fixed"/>
        <w:tblLook w:val="04A0" w:firstRow="1" w:lastRow="0" w:firstColumn="1" w:lastColumn="0" w:noHBand="0" w:noVBand="1"/>
      </w:tblPr>
      <w:tblGrid>
        <w:gridCol w:w="7100"/>
      </w:tblGrid>
      <w:tr w:rsidR="003E7993">
        <w:tc>
          <w:tcPr>
            <w:tcW w:w="7100" w:type="dxa"/>
            <w:tcBorders>
              <w:top w:val="single" w:sz="4" w:space="0" w:color="000000"/>
              <w:bottom w:val="single" w:sz="4" w:space="0" w:color="000000"/>
            </w:tcBorders>
            <w:tcMar>
              <w:top w:w="400" w:type="dxa"/>
              <w:left w:w="0" w:type="dxa"/>
              <w:bottom w:w="400" w:type="dxa"/>
              <w:right w:w="0" w:type="dxa"/>
            </w:tcMar>
            <w:vAlign w:val="center"/>
          </w:tcPr>
          <w:p w:rsidR="003E7993" w:rsidRDefault="00930774">
            <w:pPr>
              <w:spacing w:line="325" w:lineRule="exact"/>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ENLEVEMENT ET MISE EN FOURRIERE DES VEHICULES EN INFRACTION AU CODE DE LA ROUTE OU AU CODE GENERAL DES COLLECTIVITES TERRITORIALES (ARRETES MUNICIPAUX)</w:t>
            </w:r>
          </w:p>
        </w:tc>
      </w:tr>
    </w:tbl>
    <w:p w:rsidR="003E7993" w:rsidRDefault="00930774">
      <w:pPr>
        <w:spacing w:line="240" w:lineRule="exact"/>
      </w:pPr>
      <w:r>
        <w:t xml:space="preserve"> </w:t>
      </w:r>
    </w:p>
    <w:p w:rsidR="003E7993" w:rsidRDefault="003E7993">
      <w:pPr>
        <w:spacing w:after="140" w:line="240" w:lineRule="exact"/>
      </w:pPr>
    </w:p>
    <w:p w:rsidR="003E7993" w:rsidRDefault="00930774">
      <w:pPr>
        <w:spacing w:before="80" w:after="20"/>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Date et heure limites de réception des offres :</w:t>
      </w:r>
    </w:p>
    <w:p w:rsidR="003E7993" w:rsidRDefault="00930774">
      <w:pPr>
        <w:spacing w:before="80" w:after="20"/>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Vendredi 15 mai</w:t>
      </w:r>
      <w:bookmarkStart w:id="0" w:name="_GoBack"/>
      <w:bookmarkEnd w:id="0"/>
      <w:r>
        <w:rPr>
          <w:rFonts w:ascii="Trebuchet MS" w:eastAsia="Trebuchet MS" w:hAnsi="Trebuchet MS" w:cs="Trebuchet MS"/>
          <w:color w:val="000000"/>
          <w:lang w:val="fr-FR"/>
        </w:rPr>
        <w:t xml:space="preserve"> 2020 à 12:00</w:t>
      </w:r>
    </w:p>
    <w:p w:rsidR="003E7993" w:rsidRDefault="003E7993">
      <w:pPr>
        <w:spacing w:line="240" w:lineRule="exact"/>
      </w:pPr>
    </w:p>
    <w:p w:rsidR="003E7993" w:rsidRDefault="003E7993">
      <w:pPr>
        <w:spacing w:line="240" w:lineRule="exact"/>
      </w:pPr>
    </w:p>
    <w:p w:rsidR="003E7993" w:rsidRDefault="003E7993">
      <w:pPr>
        <w:spacing w:line="240" w:lineRule="exact"/>
      </w:pPr>
    </w:p>
    <w:p w:rsidR="003E7993" w:rsidRDefault="003E7993">
      <w:pPr>
        <w:spacing w:line="240" w:lineRule="exact"/>
      </w:pPr>
    </w:p>
    <w:p w:rsidR="003E7993" w:rsidRDefault="00930774">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b/>
          <w:color w:val="000000"/>
          <w:lang w:val="fr-FR"/>
        </w:rPr>
        <w:t xml:space="preserve">Ville de Gardanne </w:t>
      </w:r>
    </w:p>
    <w:p w:rsidR="003E7993" w:rsidRDefault="00930774">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Hôtel de ville</w:t>
      </w:r>
    </w:p>
    <w:p w:rsidR="003E7993" w:rsidRDefault="00930774">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Cours de la République</w:t>
      </w:r>
    </w:p>
    <w:p w:rsidR="003E7993" w:rsidRDefault="00930774">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13120 GARDANNE</w:t>
      </w:r>
    </w:p>
    <w:p w:rsidR="003E7993" w:rsidRDefault="003E7993">
      <w:pPr>
        <w:spacing w:line="279" w:lineRule="exact"/>
        <w:ind w:left="20" w:right="20"/>
        <w:jc w:val="center"/>
        <w:rPr>
          <w:rFonts w:ascii="Trebuchet MS" w:eastAsia="Trebuchet MS" w:hAnsi="Trebuchet MS" w:cs="Trebuchet MS"/>
          <w:color w:val="000000"/>
          <w:lang w:val="fr-FR"/>
        </w:rPr>
        <w:sectPr w:rsidR="003E7993">
          <w:pgSz w:w="11900" w:h="16840"/>
          <w:pgMar w:top="1134" w:right="1134" w:bottom="1134" w:left="1134" w:header="1134" w:footer="1134" w:gutter="0"/>
          <w:cols w:space="708"/>
        </w:sectPr>
      </w:pPr>
    </w:p>
    <w:p w:rsidR="003E7993" w:rsidRDefault="003E7993">
      <w:pPr>
        <w:spacing w:line="20" w:lineRule="exact"/>
        <w:rPr>
          <w:sz w:val="2"/>
        </w:rPr>
      </w:pPr>
    </w:p>
    <w:p w:rsidR="003E7993" w:rsidRDefault="00930774">
      <w:pPr>
        <w:spacing w:after="120"/>
        <w:ind w:left="20" w:right="20"/>
        <w:jc w:val="center"/>
        <w:rPr>
          <w:rFonts w:ascii="Trebuchet MS" w:eastAsia="Trebuchet MS" w:hAnsi="Trebuchet MS" w:cs="Trebuchet MS"/>
          <w:b/>
          <w:color w:val="000000"/>
          <w:lang w:val="fr-FR"/>
        </w:rPr>
      </w:pPr>
      <w:r>
        <w:rPr>
          <w:rFonts w:ascii="Trebuchet MS" w:eastAsia="Trebuchet MS" w:hAnsi="Trebuchet MS" w:cs="Trebuchet MS"/>
          <w:b/>
          <w:color w:val="000000"/>
          <w:lang w:val="fr-FR"/>
        </w:rPr>
        <w:t>SOMMAIRE</w:t>
      </w:r>
    </w:p>
    <w:p w:rsidR="003E7993" w:rsidRDefault="003E7993">
      <w:pPr>
        <w:spacing w:after="80" w:line="240" w:lineRule="exact"/>
      </w:pPr>
    </w:p>
    <w:p w:rsidR="003E7993" w:rsidRDefault="00930774">
      <w:pPr>
        <w:pStyle w:val="TM1"/>
        <w:tabs>
          <w:tab w:val="right" w:leader="dot" w:pos="9622"/>
        </w:tabs>
        <w:rPr>
          <w:rFonts w:ascii="Calibri" w:hAnsi="Calibri"/>
          <w:noProof/>
          <w:sz w:val="22"/>
        </w:rPr>
      </w:pPr>
      <w:r>
        <w:rPr>
          <w:rFonts w:ascii="Trebuchet MS" w:eastAsia="Trebuchet MS" w:hAnsi="Trebuchet MS" w:cs="Trebuchet MS"/>
          <w:color w:val="000000"/>
          <w:sz w:val="22"/>
          <w:lang w:val="fr-FR"/>
        </w:rPr>
        <w:fldChar w:fldCharType="begin"/>
      </w:r>
      <w:r>
        <w:rPr>
          <w:rFonts w:ascii="Trebuchet MS" w:eastAsia="Trebuchet MS" w:hAnsi="Trebuchet MS" w:cs="Trebuchet MS"/>
          <w:color w:val="000000"/>
          <w:sz w:val="22"/>
          <w:lang w:val="fr-FR"/>
        </w:rPr>
        <w:instrText xml:space="preserve"> TOC </w:instrText>
      </w:r>
      <w:r>
        <w:rPr>
          <w:rFonts w:ascii="Trebuchet MS" w:eastAsia="Trebuchet MS" w:hAnsi="Trebuchet MS" w:cs="Trebuchet MS"/>
          <w:color w:val="000000"/>
          <w:sz w:val="22"/>
          <w:lang w:val="fr-FR"/>
        </w:rPr>
        <w:fldChar w:fldCharType="separate"/>
      </w:r>
      <w:r>
        <w:rPr>
          <w:rFonts w:ascii="Trebuchet MS" w:eastAsia="Trebuchet MS" w:hAnsi="Trebuchet MS" w:cs="Trebuchet MS"/>
          <w:color w:val="000000"/>
          <w:lang w:val="fr-FR"/>
        </w:rPr>
        <w:t>1 - Objet et étendue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1.1 - Objet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1.2 - Mode de passation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1.3 - Type de contrat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1.4 - Décomposition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1.5 - Nomenclature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3E7993" w:rsidRDefault="00930774">
      <w:pPr>
        <w:pStyle w:val="TM1"/>
        <w:tabs>
          <w:tab w:val="right" w:leader="dot" w:pos="9622"/>
        </w:tabs>
        <w:rPr>
          <w:rFonts w:ascii="Calibri" w:hAnsi="Calibri"/>
          <w:noProof/>
          <w:sz w:val="22"/>
        </w:rPr>
      </w:pPr>
      <w:r>
        <w:rPr>
          <w:rFonts w:ascii="Trebuchet MS" w:eastAsia="Trebuchet MS" w:hAnsi="Trebuchet MS" w:cs="Trebuchet MS"/>
          <w:color w:val="000000"/>
          <w:lang w:val="fr-FR"/>
        </w:rPr>
        <w:t>2 - Conditions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2.1 - Délai de validité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2.2 - Forme juridique du groupement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2.3 - Variantes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3E7993" w:rsidRDefault="00930774">
      <w:pPr>
        <w:pStyle w:val="TM1"/>
        <w:tabs>
          <w:tab w:val="right" w:leader="dot" w:pos="9622"/>
        </w:tabs>
        <w:rPr>
          <w:rFonts w:ascii="Calibri" w:hAnsi="Calibri"/>
          <w:noProof/>
          <w:sz w:val="22"/>
        </w:rPr>
      </w:pPr>
      <w:r>
        <w:rPr>
          <w:rFonts w:ascii="Trebuchet MS" w:eastAsia="Trebuchet MS" w:hAnsi="Trebuchet MS" w:cs="Trebuchet MS"/>
          <w:color w:val="000000"/>
          <w:lang w:val="fr-FR"/>
        </w:rPr>
        <w:t>3 - Conditions relatives au contrat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3.1 - Durée du contrat ou délai d'exécution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w:instrText>
      </w:r>
      <w:r>
        <w:rPr>
          <w:rFonts w:ascii="Trebuchet MS" w:eastAsia="Trebuchet MS" w:hAnsi="Trebuchet MS" w:cs="Trebuchet MS"/>
        </w:rPr>
        <w:instrText xml:space="preserve">6000011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3.2 - Modalités essentielles de financement et de paiement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3E7993" w:rsidRDefault="00930774">
      <w:pPr>
        <w:pStyle w:val="TM1"/>
        <w:tabs>
          <w:tab w:val="right" w:leader="dot" w:pos="9622"/>
        </w:tabs>
        <w:rPr>
          <w:rFonts w:ascii="Calibri" w:hAnsi="Calibri"/>
          <w:noProof/>
          <w:sz w:val="22"/>
        </w:rPr>
      </w:pPr>
      <w:r>
        <w:rPr>
          <w:rFonts w:ascii="Trebuchet MS" w:eastAsia="Trebuchet MS" w:hAnsi="Trebuchet MS" w:cs="Trebuchet MS"/>
          <w:color w:val="000000"/>
          <w:lang w:val="fr-FR"/>
        </w:rPr>
        <w:t>4 - Contenu du dossie</w:t>
      </w:r>
      <w:r>
        <w:rPr>
          <w:rFonts w:ascii="Trebuchet MS" w:eastAsia="Trebuchet MS" w:hAnsi="Trebuchet MS" w:cs="Trebuchet MS"/>
          <w:color w:val="000000"/>
          <w:lang w:val="fr-FR"/>
        </w:rPr>
        <w:t>r de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3E7993" w:rsidRDefault="00930774">
      <w:pPr>
        <w:pStyle w:val="TM1"/>
        <w:tabs>
          <w:tab w:val="right" w:leader="dot" w:pos="9622"/>
        </w:tabs>
        <w:rPr>
          <w:rFonts w:ascii="Calibri" w:hAnsi="Calibri"/>
          <w:noProof/>
          <w:sz w:val="22"/>
        </w:rPr>
      </w:pPr>
      <w:r>
        <w:rPr>
          <w:rFonts w:ascii="Trebuchet MS" w:eastAsia="Trebuchet MS" w:hAnsi="Trebuchet MS" w:cs="Trebuchet MS"/>
          <w:color w:val="000000"/>
          <w:lang w:val="fr-FR"/>
        </w:rPr>
        <w:t>5 - Présentation des candidatures et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5.1 - Documents à produire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3E7993" w:rsidRDefault="00930774">
      <w:pPr>
        <w:pStyle w:val="TM1"/>
        <w:tabs>
          <w:tab w:val="right" w:leader="dot" w:pos="9622"/>
        </w:tabs>
        <w:rPr>
          <w:rFonts w:ascii="Calibri" w:hAnsi="Calibri"/>
          <w:noProof/>
          <w:sz w:val="22"/>
        </w:rPr>
      </w:pPr>
      <w:r>
        <w:rPr>
          <w:rFonts w:ascii="Trebuchet MS" w:eastAsia="Trebuchet MS" w:hAnsi="Trebuchet MS" w:cs="Trebuchet MS"/>
          <w:color w:val="000000"/>
          <w:lang w:val="fr-FR"/>
        </w:rPr>
        <w:t>6 - Conditions d'envoi ou de remise des plis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6</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6.1 - Transmission électronique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6</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6.2 - Transmission sous support papier</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_Toc256000018 \</w:instrText>
      </w:r>
      <w:r>
        <w:rPr>
          <w:rFonts w:ascii="Trebuchet MS" w:eastAsia="Trebuchet MS" w:hAnsi="Trebuchet MS" w:cs="Trebuchet MS"/>
        </w:rPr>
        <w:instrText xml:space="preserve">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7</w:t>
      </w:r>
      <w:r>
        <w:rPr>
          <w:rFonts w:ascii="Trebuchet MS" w:eastAsia="Trebuchet MS" w:hAnsi="Trebuchet MS" w:cs="Trebuchet MS"/>
        </w:rPr>
        <w:fldChar w:fldCharType="end"/>
      </w:r>
    </w:p>
    <w:p w:rsidR="003E7993" w:rsidRDefault="00930774">
      <w:pPr>
        <w:pStyle w:val="TM1"/>
        <w:tabs>
          <w:tab w:val="right" w:leader="dot" w:pos="9622"/>
        </w:tabs>
        <w:rPr>
          <w:rFonts w:ascii="Calibri" w:hAnsi="Calibri"/>
          <w:noProof/>
          <w:sz w:val="22"/>
        </w:rPr>
      </w:pPr>
      <w:r>
        <w:rPr>
          <w:rFonts w:ascii="Trebuchet MS" w:eastAsia="Trebuchet MS" w:hAnsi="Trebuchet MS" w:cs="Trebuchet MS"/>
          <w:color w:val="000000"/>
          <w:lang w:val="fr-FR"/>
        </w:rPr>
        <w:t>7 - Examen des candidatures et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7.1 - Sélection des candidatures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7.2 - Attribution des marchés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7.3 - Suite à donner à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3E7993" w:rsidRDefault="00930774">
      <w:pPr>
        <w:pStyle w:val="TM1"/>
        <w:tabs>
          <w:tab w:val="right" w:leader="dot" w:pos="9622"/>
        </w:tabs>
        <w:rPr>
          <w:rFonts w:ascii="Calibri" w:hAnsi="Calibri"/>
          <w:noProof/>
          <w:sz w:val="22"/>
        </w:rPr>
      </w:pPr>
      <w:r>
        <w:rPr>
          <w:rFonts w:ascii="Trebuchet MS" w:eastAsia="Trebuchet MS" w:hAnsi="Trebuchet MS" w:cs="Trebuchet MS"/>
          <w:color w:val="000000"/>
          <w:lang w:val="fr-FR"/>
        </w:rPr>
        <w:t>8 - Renseignements complémentaires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8.1 - Adresses supplémentaires et points de contact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3E7993" w:rsidRDefault="00930774">
      <w:pPr>
        <w:pStyle w:val="TM2"/>
        <w:tabs>
          <w:tab w:val="right" w:leader="dot" w:pos="9622"/>
        </w:tabs>
        <w:rPr>
          <w:rFonts w:ascii="Calibri" w:hAnsi="Calibri"/>
          <w:noProof/>
          <w:sz w:val="22"/>
        </w:rPr>
      </w:pPr>
      <w:r>
        <w:rPr>
          <w:rFonts w:ascii="Trebuchet MS" w:eastAsia="Trebuchet MS" w:hAnsi="Trebuchet MS" w:cs="Trebuchet MS"/>
          <w:color w:val="000000"/>
          <w:lang w:val="fr-FR"/>
        </w:rPr>
        <w:t>8.2 - Procédu</w:t>
      </w:r>
      <w:r>
        <w:rPr>
          <w:rFonts w:ascii="Trebuchet MS" w:eastAsia="Trebuchet MS" w:hAnsi="Trebuchet MS" w:cs="Trebuchet MS"/>
          <w:color w:val="000000"/>
          <w:lang w:val="fr-FR"/>
        </w:rPr>
        <w:t>res de recours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3E7993" w:rsidRDefault="00930774">
      <w:pPr>
        <w:spacing w:after="140"/>
        <w:ind w:left="20" w:right="20"/>
        <w:rPr>
          <w:rFonts w:ascii="Trebuchet MS" w:eastAsia="Trebuchet MS" w:hAnsi="Trebuchet MS" w:cs="Trebuchet MS"/>
          <w:color w:val="000000"/>
          <w:sz w:val="22"/>
          <w:lang w:val="fr-FR"/>
        </w:rPr>
        <w:sectPr w:rsidR="003E7993">
          <w:pgSz w:w="11900" w:h="16840"/>
          <w:pgMar w:top="1134" w:right="1134" w:bottom="1134" w:left="1134" w:header="1134" w:footer="1134" w:gutter="0"/>
          <w:cols w:space="708"/>
        </w:sectPr>
      </w:pPr>
      <w:r>
        <w:rPr>
          <w:rFonts w:ascii="Trebuchet MS" w:eastAsia="Trebuchet MS" w:hAnsi="Trebuchet MS" w:cs="Trebuchet MS"/>
          <w:color w:val="000000"/>
          <w:sz w:val="22"/>
          <w:lang w:val="fr-FR"/>
        </w:rPr>
        <w:fldChar w:fldCharType="end"/>
      </w:r>
    </w:p>
    <w:p w:rsidR="003E7993" w:rsidRDefault="003E7993">
      <w:pPr>
        <w:spacing w:line="20" w:lineRule="exact"/>
        <w:rPr>
          <w:sz w:val="2"/>
        </w:rPr>
      </w:pPr>
    </w:p>
    <w:p w:rsidR="003E7993" w:rsidRDefault="00930774">
      <w:pPr>
        <w:pStyle w:val="Titre1"/>
        <w:rPr>
          <w:rFonts w:ascii="Trebuchet MS" w:eastAsia="Trebuchet MS" w:hAnsi="Trebuchet MS" w:cs="Trebuchet MS"/>
          <w:color w:val="000000"/>
          <w:sz w:val="28"/>
          <w:lang w:val="fr-FR"/>
        </w:rPr>
      </w:pPr>
      <w:bookmarkStart w:id="1" w:name="_Toc256000000"/>
      <w:r>
        <w:rPr>
          <w:rFonts w:ascii="Trebuchet MS" w:eastAsia="Trebuchet MS" w:hAnsi="Trebuchet MS" w:cs="Trebuchet MS"/>
          <w:color w:val="000000"/>
          <w:sz w:val="28"/>
          <w:lang w:val="fr-FR"/>
        </w:rPr>
        <w:t>1 - Objet et étendue de la consultation</w:t>
      </w:r>
      <w:bookmarkEnd w:id="1"/>
    </w:p>
    <w:p w:rsidR="003E7993" w:rsidRDefault="00930774">
      <w:pPr>
        <w:pStyle w:val="Titre2"/>
        <w:ind w:left="300" w:right="20"/>
        <w:rPr>
          <w:rFonts w:ascii="Trebuchet MS" w:eastAsia="Trebuchet MS" w:hAnsi="Trebuchet MS" w:cs="Trebuchet MS"/>
          <w:i w:val="0"/>
          <w:color w:val="000000"/>
          <w:sz w:val="24"/>
          <w:lang w:val="fr-FR"/>
        </w:rPr>
      </w:pPr>
      <w:bookmarkStart w:id="2" w:name="_Toc256000001"/>
      <w:r>
        <w:rPr>
          <w:rFonts w:ascii="Trebuchet MS" w:eastAsia="Trebuchet MS" w:hAnsi="Trebuchet MS" w:cs="Trebuchet MS"/>
          <w:i w:val="0"/>
          <w:color w:val="000000"/>
          <w:sz w:val="24"/>
          <w:lang w:val="fr-FR"/>
        </w:rPr>
        <w:t>1.1 - Objet</w:t>
      </w:r>
      <w:bookmarkEnd w:id="2"/>
    </w:p>
    <w:p w:rsidR="003E7993" w:rsidRDefault="00930774">
      <w:pPr>
        <w:pStyle w:val="ParagrapheIndent2"/>
        <w:spacing w:line="232" w:lineRule="exact"/>
        <w:ind w:left="20" w:right="20"/>
        <w:jc w:val="both"/>
        <w:rPr>
          <w:color w:val="000000"/>
          <w:lang w:val="fr-FR"/>
        </w:rPr>
      </w:pPr>
      <w:r>
        <w:rPr>
          <w:color w:val="000000"/>
          <w:lang w:val="fr-FR"/>
        </w:rPr>
        <w:t>La présente consultation concerne :</w:t>
      </w:r>
    </w:p>
    <w:p w:rsidR="003E7993" w:rsidRDefault="00930774">
      <w:pPr>
        <w:pStyle w:val="ParagrapheIndent2"/>
        <w:spacing w:line="232" w:lineRule="exact"/>
        <w:ind w:left="20" w:right="20"/>
        <w:jc w:val="both"/>
        <w:rPr>
          <w:color w:val="000000"/>
          <w:lang w:val="fr-FR"/>
        </w:rPr>
      </w:pPr>
      <w:r>
        <w:rPr>
          <w:color w:val="000000"/>
          <w:lang w:val="fr-FR"/>
        </w:rPr>
        <w:t xml:space="preserve">ENLEVEMENT ET MISE EN FOURRIERE </w:t>
      </w:r>
      <w:r>
        <w:rPr>
          <w:color w:val="000000"/>
          <w:lang w:val="fr-FR"/>
        </w:rPr>
        <w:t>DES VEHICULES EN INFRACTION AU CODE DE LA ROUTE OU AU CODE GENERAL DES COLLECTIVITES TERRITORIALES (ARRETES MUNICIPAUX)</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after="240" w:line="232" w:lineRule="exact"/>
        <w:ind w:left="20" w:right="20"/>
        <w:jc w:val="both"/>
        <w:rPr>
          <w:color w:val="000000"/>
          <w:lang w:val="fr-FR"/>
        </w:rPr>
      </w:pPr>
      <w:r>
        <w:rPr>
          <w:color w:val="000000"/>
          <w:lang w:val="fr-FR"/>
        </w:rPr>
        <w:t>Le présent dossier concerne l'enlèvement et la mise en fourrière de tout véhicule dont le poids est inférieur ou supérieur à 3,5 tonnes</w:t>
      </w:r>
      <w:r>
        <w:rPr>
          <w:color w:val="000000"/>
          <w:lang w:val="fr-FR"/>
        </w:rPr>
        <w:t xml:space="preserve"> en infraction au Code de la route ou au Code Général des Collectivités Territoriales sur la commune de Gardanne/Biver.</w:t>
      </w:r>
    </w:p>
    <w:p w:rsidR="003E7993" w:rsidRDefault="00930774">
      <w:pPr>
        <w:pStyle w:val="ParagrapheIndent2"/>
        <w:spacing w:line="232" w:lineRule="exact"/>
        <w:ind w:left="20" w:right="20"/>
        <w:jc w:val="both"/>
        <w:rPr>
          <w:color w:val="000000"/>
          <w:lang w:val="fr-FR"/>
        </w:rPr>
      </w:pPr>
      <w:r>
        <w:rPr>
          <w:color w:val="000000"/>
          <w:lang w:val="fr-FR"/>
        </w:rPr>
        <w:t>Lieu(x) d'exécution :</w:t>
      </w:r>
    </w:p>
    <w:p w:rsidR="003E7993" w:rsidRDefault="00930774">
      <w:pPr>
        <w:pStyle w:val="ParagrapheIndent2"/>
        <w:spacing w:line="232" w:lineRule="exact"/>
        <w:ind w:left="20" w:right="20"/>
        <w:jc w:val="both"/>
        <w:rPr>
          <w:color w:val="000000"/>
          <w:lang w:val="fr-FR"/>
        </w:rPr>
      </w:pPr>
      <w:r>
        <w:rPr>
          <w:color w:val="000000"/>
          <w:lang w:val="fr-FR"/>
        </w:rPr>
        <w:t>Ville de Gardanne</w:t>
      </w:r>
    </w:p>
    <w:p w:rsidR="003E7993" w:rsidRDefault="00930774">
      <w:pPr>
        <w:pStyle w:val="ParagrapheIndent2"/>
        <w:spacing w:after="240" w:line="232" w:lineRule="exact"/>
        <w:ind w:left="20" w:right="20"/>
        <w:jc w:val="both"/>
        <w:rPr>
          <w:color w:val="000000"/>
          <w:lang w:val="fr-FR"/>
        </w:rPr>
      </w:pPr>
      <w:r>
        <w:rPr>
          <w:color w:val="000000"/>
          <w:lang w:val="fr-FR"/>
        </w:rPr>
        <w:t>13120 GARDANNE</w:t>
      </w:r>
    </w:p>
    <w:p w:rsidR="003E7993" w:rsidRDefault="00930774">
      <w:pPr>
        <w:pStyle w:val="Titre2"/>
        <w:ind w:left="300" w:right="20"/>
        <w:rPr>
          <w:rFonts w:ascii="Trebuchet MS" w:eastAsia="Trebuchet MS" w:hAnsi="Trebuchet MS" w:cs="Trebuchet MS"/>
          <w:i w:val="0"/>
          <w:color w:val="000000"/>
          <w:sz w:val="24"/>
          <w:lang w:val="fr-FR"/>
        </w:rPr>
      </w:pPr>
      <w:bookmarkStart w:id="3" w:name="_Toc256000002"/>
      <w:r>
        <w:rPr>
          <w:rFonts w:ascii="Trebuchet MS" w:eastAsia="Trebuchet MS" w:hAnsi="Trebuchet MS" w:cs="Trebuchet MS"/>
          <w:i w:val="0"/>
          <w:color w:val="000000"/>
          <w:sz w:val="24"/>
          <w:lang w:val="fr-FR"/>
        </w:rPr>
        <w:t>1.2 - Mode de passation</w:t>
      </w:r>
      <w:bookmarkEnd w:id="3"/>
    </w:p>
    <w:p w:rsidR="003E7993" w:rsidRDefault="00930774">
      <w:pPr>
        <w:pStyle w:val="ParagrapheIndent2"/>
        <w:spacing w:after="240" w:line="232" w:lineRule="exact"/>
        <w:ind w:left="20" w:right="20"/>
        <w:jc w:val="both"/>
        <w:rPr>
          <w:color w:val="000000"/>
          <w:lang w:val="fr-FR"/>
        </w:rPr>
      </w:pPr>
      <w:r>
        <w:rPr>
          <w:color w:val="000000"/>
          <w:lang w:val="fr-FR"/>
        </w:rPr>
        <w:t>La procédure de passation utilisée est : la procédure ada</w:t>
      </w:r>
      <w:r>
        <w:rPr>
          <w:color w:val="000000"/>
          <w:lang w:val="fr-FR"/>
        </w:rPr>
        <w:t>ptée ouverte. Elle est soumise aux dispositions des articles L. 2123-1 et R. 2123-1 1° du Code de la commande publique.</w:t>
      </w:r>
    </w:p>
    <w:p w:rsidR="003E7993" w:rsidRDefault="00930774">
      <w:pPr>
        <w:pStyle w:val="Titre2"/>
        <w:ind w:left="300" w:right="20"/>
        <w:rPr>
          <w:rFonts w:ascii="Trebuchet MS" w:eastAsia="Trebuchet MS" w:hAnsi="Trebuchet MS" w:cs="Trebuchet MS"/>
          <w:i w:val="0"/>
          <w:color w:val="000000"/>
          <w:sz w:val="24"/>
          <w:lang w:val="fr-FR"/>
        </w:rPr>
      </w:pPr>
      <w:bookmarkStart w:id="4" w:name="_Toc256000003"/>
      <w:r>
        <w:rPr>
          <w:rFonts w:ascii="Trebuchet MS" w:eastAsia="Trebuchet MS" w:hAnsi="Trebuchet MS" w:cs="Trebuchet MS"/>
          <w:i w:val="0"/>
          <w:color w:val="000000"/>
          <w:sz w:val="24"/>
          <w:lang w:val="fr-FR"/>
        </w:rPr>
        <w:t>1.3 - Type de contrat</w:t>
      </w:r>
      <w:bookmarkEnd w:id="4"/>
    </w:p>
    <w:p w:rsidR="003E7993" w:rsidRDefault="00930774">
      <w:pPr>
        <w:pStyle w:val="ParagrapheIndent2"/>
        <w:spacing w:after="240" w:line="232" w:lineRule="exact"/>
        <w:ind w:left="20" w:right="20"/>
        <w:jc w:val="both"/>
        <w:rPr>
          <w:color w:val="000000"/>
          <w:lang w:val="fr-FR"/>
        </w:rPr>
      </w:pPr>
      <w:r>
        <w:rPr>
          <w:color w:val="000000"/>
          <w:lang w:val="fr-FR"/>
        </w:rPr>
        <w:t>L'accord-cadre avec minimum et maximum est passé en application des articles L2125-1 1°, R. 2162-1 à R. 2162-6, R.</w:t>
      </w:r>
      <w:r>
        <w:rPr>
          <w:color w:val="000000"/>
          <w:lang w:val="fr-FR"/>
        </w:rPr>
        <w:t xml:space="preserve"> 2162-13 et R. 2162-14 du Code de la commande publique. Il donnera lieu à l'émission de bons de commande.</w:t>
      </w:r>
    </w:p>
    <w:p w:rsidR="003E7993" w:rsidRDefault="00930774">
      <w:pPr>
        <w:pStyle w:val="Titre2"/>
        <w:ind w:left="300" w:right="20"/>
        <w:rPr>
          <w:rFonts w:ascii="Trebuchet MS" w:eastAsia="Trebuchet MS" w:hAnsi="Trebuchet MS" w:cs="Trebuchet MS"/>
          <w:i w:val="0"/>
          <w:color w:val="000000"/>
          <w:sz w:val="24"/>
          <w:lang w:val="fr-FR"/>
        </w:rPr>
      </w:pPr>
      <w:bookmarkStart w:id="5" w:name="_Toc256000004"/>
      <w:r>
        <w:rPr>
          <w:rFonts w:ascii="Trebuchet MS" w:eastAsia="Trebuchet MS" w:hAnsi="Trebuchet MS" w:cs="Trebuchet MS"/>
          <w:i w:val="0"/>
          <w:color w:val="000000"/>
          <w:sz w:val="24"/>
          <w:lang w:val="fr-FR"/>
        </w:rPr>
        <w:t>1.4 - Décomposition de la consultation</w:t>
      </w:r>
      <w:bookmarkEnd w:id="5"/>
    </w:p>
    <w:p w:rsidR="003E7993" w:rsidRDefault="00930774">
      <w:pPr>
        <w:pStyle w:val="ParagrapheIndent2"/>
        <w:spacing w:after="240"/>
        <w:ind w:left="20" w:right="20"/>
        <w:jc w:val="both"/>
        <w:rPr>
          <w:color w:val="000000"/>
          <w:lang w:val="fr-FR"/>
        </w:rPr>
      </w:pPr>
      <w:r>
        <w:rPr>
          <w:color w:val="000000"/>
          <w:lang w:val="fr-FR"/>
        </w:rPr>
        <w:t>Il n'est pas prévu de décomposition en lots.</w:t>
      </w:r>
    </w:p>
    <w:p w:rsidR="003E7993" w:rsidRDefault="00930774">
      <w:pPr>
        <w:pStyle w:val="ParagrapheIndent2"/>
        <w:spacing w:after="240" w:line="232" w:lineRule="exact"/>
        <w:ind w:left="20" w:right="20"/>
        <w:jc w:val="both"/>
        <w:rPr>
          <w:color w:val="000000"/>
          <w:lang w:val="fr-FR"/>
        </w:rPr>
      </w:pPr>
      <w:r>
        <w:rPr>
          <w:color w:val="000000"/>
          <w:lang w:val="fr-FR"/>
        </w:rPr>
        <w:t xml:space="preserve">Le pouvoir adjudicateur a décidé de ne pas lancer la consultation </w:t>
      </w:r>
      <w:r>
        <w:rPr>
          <w:color w:val="000000"/>
          <w:lang w:val="fr-FR"/>
        </w:rPr>
        <w:t>en lots séparés pour les motifs suivants : Les prestations ne peuvent être dissocièes..</w:t>
      </w:r>
    </w:p>
    <w:p w:rsidR="003E7993" w:rsidRDefault="00930774">
      <w:pPr>
        <w:pStyle w:val="Titre2"/>
        <w:ind w:left="300" w:right="20"/>
        <w:rPr>
          <w:rFonts w:ascii="Trebuchet MS" w:eastAsia="Trebuchet MS" w:hAnsi="Trebuchet MS" w:cs="Trebuchet MS"/>
          <w:i w:val="0"/>
          <w:color w:val="000000"/>
          <w:sz w:val="24"/>
          <w:lang w:val="fr-FR"/>
        </w:rPr>
      </w:pPr>
      <w:bookmarkStart w:id="6" w:name="_Toc256000005"/>
      <w:r>
        <w:rPr>
          <w:rFonts w:ascii="Trebuchet MS" w:eastAsia="Trebuchet MS" w:hAnsi="Trebuchet MS" w:cs="Trebuchet MS"/>
          <w:i w:val="0"/>
          <w:color w:val="000000"/>
          <w:sz w:val="24"/>
          <w:lang w:val="fr-FR"/>
        </w:rPr>
        <w:t>1.5 - Nomenclature</w:t>
      </w:r>
      <w:bookmarkEnd w:id="6"/>
    </w:p>
    <w:p w:rsidR="003E7993" w:rsidRDefault="00930774">
      <w:pPr>
        <w:pStyle w:val="ParagrapheIndent2"/>
        <w:spacing w:line="232" w:lineRule="exact"/>
        <w:ind w:left="20" w:right="20"/>
        <w:jc w:val="both"/>
        <w:rPr>
          <w:color w:val="000000"/>
          <w:lang w:val="fr-FR"/>
        </w:rPr>
      </w:pPr>
      <w:r>
        <w:rPr>
          <w:color w:val="000000"/>
          <w:lang w:val="fr-FR"/>
        </w:rPr>
        <w:t>La classification conforme au vocabulaire commun des marchés européens (CPV) est :</w:t>
      </w:r>
    </w:p>
    <w:p w:rsidR="003E7993" w:rsidRDefault="003E7993">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1400"/>
        <w:gridCol w:w="5200"/>
        <w:gridCol w:w="1000"/>
        <w:gridCol w:w="1000"/>
        <w:gridCol w:w="1000"/>
      </w:tblGrid>
      <w:tr w:rsidR="003E7993">
        <w:trPr>
          <w:trHeight w:val="468"/>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principal</w:t>
            </w:r>
          </w:p>
        </w:tc>
        <w:tc>
          <w:tcPr>
            <w:tcW w:w="5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Description</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1</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2</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w:t>
            </w:r>
            <w:r>
              <w:rPr>
                <w:rFonts w:ascii="Trebuchet MS" w:eastAsia="Trebuchet MS" w:hAnsi="Trebuchet MS" w:cs="Trebuchet MS"/>
                <w:color w:val="000000"/>
                <w:sz w:val="20"/>
                <w:lang w:val="fr-FR"/>
              </w:rPr>
              <w:t>. 3</w:t>
            </w:r>
          </w:p>
        </w:tc>
      </w:tr>
      <w:tr w:rsidR="003E7993">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50118110-9</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Services de remorquage de véhicules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3E7993"/>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3E7993"/>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3E7993"/>
        </w:tc>
      </w:tr>
      <w:tr w:rsidR="003E7993">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79713000-5</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Services de gardiennage</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3E7993"/>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3E7993"/>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3E7993"/>
        </w:tc>
      </w:tr>
    </w:tbl>
    <w:p w:rsidR="003E7993" w:rsidRDefault="00930774">
      <w:pPr>
        <w:spacing w:line="240" w:lineRule="exact"/>
      </w:pPr>
      <w:r>
        <w:t xml:space="preserve"> </w:t>
      </w:r>
    </w:p>
    <w:p w:rsidR="003E7993" w:rsidRDefault="003E7993">
      <w:pPr>
        <w:spacing w:line="240" w:lineRule="exact"/>
      </w:pPr>
    </w:p>
    <w:p w:rsidR="003E7993" w:rsidRDefault="003E7993">
      <w:pPr>
        <w:spacing w:after="80" w:line="240" w:lineRule="exact"/>
      </w:pPr>
    </w:p>
    <w:p w:rsidR="003E7993" w:rsidRDefault="00930774">
      <w:pPr>
        <w:pStyle w:val="Titre1"/>
        <w:rPr>
          <w:rFonts w:ascii="Trebuchet MS" w:eastAsia="Trebuchet MS" w:hAnsi="Trebuchet MS" w:cs="Trebuchet MS"/>
          <w:color w:val="000000"/>
          <w:sz w:val="28"/>
          <w:lang w:val="fr-FR"/>
        </w:rPr>
      </w:pPr>
      <w:bookmarkStart w:id="7" w:name="_Toc256000006"/>
      <w:r>
        <w:rPr>
          <w:rFonts w:ascii="Trebuchet MS" w:eastAsia="Trebuchet MS" w:hAnsi="Trebuchet MS" w:cs="Trebuchet MS"/>
          <w:color w:val="000000"/>
          <w:sz w:val="28"/>
          <w:lang w:val="fr-FR"/>
        </w:rPr>
        <w:t>2 - Conditions de la consultation</w:t>
      </w:r>
      <w:bookmarkEnd w:id="7"/>
    </w:p>
    <w:p w:rsidR="003E7993" w:rsidRDefault="00930774">
      <w:pPr>
        <w:pStyle w:val="Titre2"/>
        <w:ind w:left="300" w:right="20"/>
        <w:rPr>
          <w:rFonts w:ascii="Trebuchet MS" w:eastAsia="Trebuchet MS" w:hAnsi="Trebuchet MS" w:cs="Trebuchet MS"/>
          <w:i w:val="0"/>
          <w:color w:val="000000"/>
          <w:sz w:val="24"/>
          <w:lang w:val="fr-FR"/>
        </w:rPr>
      </w:pPr>
      <w:bookmarkStart w:id="8" w:name="_Toc256000007"/>
      <w:r>
        <w:rPr>
          <w:rFonts w:ascii="Trebuchet MS" w:eastAsia="Trebuchet MS" w:hAnsi="Trebuchet MS" w:cs="Trebuchet MS"/>
          <w:i w:val="0"/>
          <w:color w:val="000000"/>
          <w:sz w:val="24"/>
          <w:lang w:val="fr-FR"/>
        </w:rPr>
        <w:t>2.1 - Délai de validité des offres</w:t>
      </w:r>
      <w:bookmarkEnd w:id="8"/>
    </w:p>
    <w:p w:rsidR="003E7993" w:rsidRDefault="00930774">
      <w:pPr>
        <w:pStyle w:val="ParagrapheIndent2"/>
        <w:spacing w:after="240"/>
        <w:ind w:left="20" w:right="20"/>
        <w:jc w:val="both"/>
        <w:rPr>
          <w:color w:val="000000"/>
          <w:lang w:val="fr-FR"/>
        </w:rPr>
      </w:pPr>
      <w:r>
        <w:rPr>
          <w:color w:val="000000"/>
          <w:lang w:val="fr-FR"/>
        </w:rPr>
        <w:t xml:space="preserve">Le délai de validité des offres est fixé à 4 mois à compter de la date limite de </w:t>
      </w:r>
      <w:r>
        <w:rPr>
          <w:color w:val="000000"/>
          <w:lang w:val="fr-FR"/>
        </w:rPr>
        <w:t>réception des offres.</w:t>
      </w:r>
    </w:p>
    <w:p w:rsidR="003E7993" w:rsidRDefault="00930774">
      <w:pPr>
        <w:pStyle w:val="Titre2"/>
        <w:ind w:left="300" w:right="20"/>
        <w:rPr>
          <w:rFonts w:ascii="Trebuchet MS" w:eastAsia="Trebuchet MS" w:hAnsi="Trebuchet MS" w:cs="Trebuchet MS"/>
          <w:i w:val="0"/>
          <w:color w:val="000000"/>
          <w:sz w:val="24"/>
          <w:lang w:val="fr-FR"/>
        </w:rPr>
      </w:pPr>
      <w:bookmarkStart w:id="9" w:name="_Toc256000008"/>
      <w:r>
        <w:rPr>
          <w:rFonts w:ascii="Trebuchet MS" w:eastAsia="Trebuchet MS" w:hAnsi="Trebuchet MS" w:cs="Trebuchet MS"/>
          <w:i w:val="0"/>
          <w:color w:val="000000"/>
          <w:sz w:val="24"/>
          <w:lang w:val="fr-FR"/>
        </w:rPr>
        <w:t>2.2 - Forme juridique du groupement</w:t>
      </w:r>
      <w:bookmarkEnd w:id="9"/>
    </w:p>
    <w:p w:rsidR="003E7993" w:rsidRDefault="00930774">
      <w:pPr>
        <w:pStyle w:val="ParagrapheIndent2"/>
        <w:spacing w:line="232" w:lineRule="exact"/>
        <w:ind w:left="20" w:right="20"/>
        <w:jc w:val="both"/>
        <w:rPr>
          <w:color w:val="000000"/>
          <w:lang w:val="fr-FR"/>
        </w:rPr>
        <w:sectPr w:rsidR="003E7993">
          <w:footerReference w:type="default" r:id="rId7"/>
          <w:pgSz w:w="11900" w:h="16840"/>
          <w:pgMar w:top="1134" w:right="1134" w:bottom="1126" w:left="1134" w:header="1134" w:footer="1126" w:gutter="0"/>
          <w:cols w:space="708"/>
        </w:sectPr>
      </w:pPr>
      <w:r>
        <w:rPr>
          <w:color w:val="000000"/>
          <w:lang w:val="fr-FR"/>
        </w:rPr>
        <w:t xml:space="preserve">Le pouvoir adjudicateur ne souhaite imposer </w:t>
      </w:r>
      <w:r>
        <w:rPr>
          <w:color w:val="000000"/>
          <w:lang w:val="fr-FR"/>
        </w:rPr>
        <w:t>aucune forme de groupement à l'attributaire de l'accord-cadre.</w:t>
      </w:r>
      <w:r>
        <w:rPr>
          <w:color w:val="000000"/>
          <w:lang w:val="fr-FR"/>
        </w:rPr>
        <w:cr/>
      </w:r>
    </w:p>
    <w:p w:rsidR="003E7993" w:rsidRDefault="003E7993">
      <w:pPr>
        <w:spacing w:line="20" w:lineRule="exact"/>
        <w:rPr>
          <w:sz w:val="2"/>
        </w:rPr>
      </w:pPr>
    </w:p>
    <w:p w:rsidR="003E7993" w:rsidRDefault="00930774">
      <w:pPr>
        <w:pStyle w:val="Titre2"/>
        <w:ind w:left="300" w:right="20"/>
        <w:rPr>
          <w:rFonts w:ascii="Trebuchet MS" w:eastAsia="Trebuchet MS" w:hAnsi="Trebuchet MS" w:cs="Trebuchet MS"/>
          <w:i w:val="0"/>
          <w:color w:val="000000"/>
          <w:sz w:val="24"/>
          <w:lang w:val="fr-FR"/>
        </w:rPr>
      </w:pPr>
      <w:bookmarkStart w:id="10" w:name="_Toc256000009"/>
      <w:r>
        <w:rPr>
          <w:rFonts w:ascii="Trebuchet MS" w:eastAsia="Trebuchet MS" w:hAnsi="Trebuchet MS" w:cs="Trebuchet MS"/>
          <w:i w:val="0"/>
          <w:color w:val="000000"/>
          <w:sz w:val="24"/>
          <w:lang w:val="fr-FR"/>
        </w:rPr>
        <w:t>2.3 - Variantes</w:t>
      </w:r>
      <w:bookmarkEnd w:id="10"/>
    </w:p>
    <w:p w:rsidR="003E7993" w:rsidRDefault="00930774">
      <w:pPr>
        <w:pStyle w:val="ParagrapheIndent2"/>
        <w:spacing w:after="240"/>
        <w:ind w:left="20" w:right="20"/>
        <w:jc w:val="both"/>
        <w:rPr>
          <w:color w:val="000000"/>
          <w:lang w:val="fr-FR"/>
        </w:rPr>
      </w:pPr>
      <w:r>
        <w:rPr>
          <w:color w:val="000000"/>
          <w:lang w:val="fr-FR"/>
        </w:rPr>
        <w:t>Aucune variante n'est autorisée.</w:t>
      </w:r>
    </w:p>
    <w:p w:rsidR="003E7993" w:rsidRDefault="00930774">
      <w:pPr>
        <w:pStyle w:val="Titre1"/>
        <w:rPr>
          <w:rFonts w:ascii="Trebuchet MS" w:eastAsia="Trebuchet MS" w:hAnsi="Trebuchet MS" w:cs="Trebuchet MS"/>
          <w:color w:val="000000"/>
          <w:sz w:val="28"/>
          <w:lang w:val="fr-FR"/>
        </w:rPr>
      </w:pPr>
      <w:bookmarkStart w:id="11" w:name="_Toc256000010"/>
      <w:r>
        <w:rPr>
          <w:rFonts w:ascii="Trebuchet MS" w:eastAsia="Trebuchet MS" w:hAnsi="Trebuchet MS" w:cs="Trebuchet MS"/>
          <w:color w:val="000000"/>
          <w:sz w:val="28"/>
          <w:lang w:val="fr-FR"/>
        </w:rPr>
        <w:t>3 - Conditions relatives au contrat</w:t>
      </w:r>
      <w:bookmarkEnd w:id="11"/>
    </w:p>
    <w:p w:rsidR="003E7993" w:rsidRDefault="00930774">
      <w:pPr>
        <w:pStyle w:val="Titre2"/>
        <w:ind w:left="300" w:right="20"/>
        <w:rPr>
          <w:rFonts w:ascii="Trebuchet MS" w:eastAsia="Trebuchet MS" w:hAnsi="Trebuchet MS" w:cs="Trebuchet MS"/>
          <w:i w:val="0"/>
          <w:color w:val="000000"/>
          <w:sz w:val="24"/>
          <w:lang w:val="fr-FR"/>
        </w:rPr>
      </w:pPr>
      <w:bookmarkStart w:id="12" w:name="_Toc256000011"/>
      <w:r>
        <w:rPr>
          <w:rFonts w:ascii="Trebuchet MS" w:eastAsia="Trebuchet MS" w:hAnsi="Trebuchet MS" w:cs="Trebuchet MS"/>
          <w:i w:val="0"/>
          <w:color w:val="000000"/>
          <w:sz w:val="24"/>
          <w:lang w:val="fr-FR"/>
        </w:rPr>
        <w:t>3.1 - Durée du contrat ou délai d'exécution</w:t>
      </w:r>
      <w:bookmarkEnd w:id="12"/>
    </w:p>
    <w:p w:rsidR="003E7993" w:rsidRDefault="00930774">
      <w:pPr>
        <w:pStyle w:val="ParagrapheIndent2"/>
        <w:spacing w:after="240"/>
        <w:ind w:left="20" w:right="20"/>
        <w:jc w:val="both"/>
        <w:rPr>
          <w:color w:val="000000"/>
          <w:lang w:val="fr-FR"/>
        </w:rPr>
      </w:pPr>
      <w:r>
        <w:rPr>
          <w:color w:val="000000"/>
          <w:lang w:val="fr-FR"/>
        </w:rPr>
        <w:t>La durée de la période initiale est fixée au CCAP.</w:t>
      </w:r>
    </w:p>
    <w:p w:rsidR="003E7993" w:rsidRDefault="00930774">
      <w:pPr>
        <w:pStyle w:val="Titre2"/>
        <w:ind w:left="300" w:right="20"/>
        <w:rPr>
          <w:rFonts w:ascii="Trebuchet MS" w:eastAsia="Trebuchet MS" w:hAnsi="Trebuchet MS" w:cs="Trebuchet MS"/>
          <w:i w:val="0"/>
          <w:color w:val="000000"/>
          <w:sz w:val="24"/>
          <w:lang w:val="fr-FR"/>
        </w:rPr>
      </w:pPr>
      <w:bookmarkStart w:id="13" w:name="_Toc256000012"/>
      <w:r>
        <w:rPr>
          <w:rFonts w:ascii="Trebuchet MS" w:eastAsia="Trebuchet MS" w:hAnsi="Trebuchet MS" w:cs="Trebuchet MS"/>
          <w:i w:val="0"/>
          <w:color w:val="000000"/>
          <w:sz w:val="24"/>
          <w:lang w:val="fr-FR"/>
        </w:rPr>
        <w:t xml:space="preserve">3.2 - </w:t>
      </w:r>
      <w:r>
        <w:rPr>
          <w:rFonts w:ascii="Trebuchet MS" w:eastAsia="Trebuchet MS" w:hAnsi="Trebuchet MS" w:cs="Trebuchet MS"/>
          <w:i w:val="0"/>
          <w:color w:val="000000"/>
          <w:sz w:val="24"/>
          <w:lang w:val="fr-FR"/>
        </w:rPr>
        <w:t>Modalités essentielles de financement et de paiement</w:t>
      </w:r>
      <w:bookmarkEnd w:id="13"/>
    </w:p>
    <w:p w:rsidR="003E7993" w:rsidRDefault="00930774">
      <w:pPr>
        <w:pStyle w:val="ParagrapheIndent2"/>
        <w:spacing w:after="240"/>
        <w:ind w:left="20" w:right="20"/>
        <w:jc w:val="both"/>
        <w:rPr>
          <w:color w:val="000000"/>
          <w:lang w:val="fr-FR"/>
        </w:rPr>
      </w:pPr>
      <w:r>
        <w:rPr>
          <w:color w:val="000000"/>
          <w:lang w:val="fr-FR"/>
        </w:rPr>
        <w:t>Les prestations seront financées selon les modalités suivantes : Ressources propres</w:t>
      </w:r>
    </w:p>
    <w:p w:rsidR="003E7993" w:rsidRDefault="00930774">
      <w:pPr>
        <w:pStyle w:val="ParagrapheIndent2"/>
        <w:spacing w:after="240" w:line="232" w:lineRule="exact"/>
        <w:ind w:left="20" w:right="20"/>
        <w:jc w:val="both"/>
        <w:rPr>
          <w:color w:val="000000"/>
          <w:lang w:val="fr-FR"/>
        </w:rPr>
      </w:pPr>
      <w:r>
        <w:rPr>
          <w:color w:val="000000"/>
          <w:lang w:val="fr-FR"/>
        </w:rPr>
        <w:t>Les sommes dues au(x) titulaire(s) et au(x) sous-traitant(s) de premier rang éventuel(s) du marché seront payées dans u</w:t>
      </w:r>
      <w:r>
        <w:rPr>
          <w:color w:val="000000"/>
          <w:lang w:val="fr-FR"/>
        </w:rPr>
        <w:t>n délai global de 30 jours à compter de la date de réception des factures ou des demandes de paiement équivalentes.</w:t>
      </w:r>
    </w:p>
    <w:p w:rsidR="003E7993" w:rsidRDefault="00930774">
      <w:pPr>
        <w:pStyle w:val="Titre1"/>
        <w:rPr>
          <w:rFonts w:ascii="Trebuchet MS" w:eastAsia="Trebuchet MS" w:hAnsi="Trebuchet MS" w:cs="Trebuchet MS"/>
          <w:color w:val="000000"/>
          <w:sz w:val="28"/>
          <w:lang w:val="fr-FR"/>
        </w:rPr>
      </w:pPr>
      <w:bookmarkStart w:id="14" w:name="_Toc256000013"/>
      <w:r>
        <w:rPr>
          <w:rFonts w:ascii="Trebuchet MS" w:eastAsia="Trebuchet MS" w:hAnsi="Trebuchet MS" w:cs="Trebuchet MS"/>
          <w:color w:val="000000"/>
          <w:sz w:val="28"/>
          <w:lang w:val="fr-FR"/>
        </w:rPr>
        <w:t>4 - Contenu du dossier de consultation</w:t>
      </w:r>
      <w:bookmarkEnd w:id="14"/>
    </w:p>
    <w:p w:rsidR="003E7993" w:rsidRDefault="00930774">
      <w:pPr>
        <w:pStyle w:val="ParagrapheIndent1"/>
        <w:spacing w:line="232" w:lineRule="exact"/>
        <w:ind w:left="20" w:right="20"/>
        <w:jc w:val="both"/>
        <w:rPr>
          <w:color w:val="000000"/>
          <w:lang w:val="fr-FR"/>
        </w:rPr>
      </w:pPr>
      <w:r>
        <w:rPr>
          <w:color w:val="000000"/>
          <w:lang w:val="fr-FR"/>
        </w:rPr>
        <w:t>Le dossier de consultation des entreprises (DCE) contient les pièces suivantes :</w:t>
      </w:r>
    </w:p>
    <w:p w:rsidR="003E7993" w:rsidRDefault="003E7993">
      <w:pPr>
        <w:pStyle w:val="ParagrapheIndent1"/>
        <w:spacing w:line="232" w:lineRule="exact"/>
        <w:ind w:left="20" w:right="20"/>
        <w:jc w:val="both"/>
        <w:rPr>
          <w:color w:val="000000"/>
          <w:lang w:val="fr-FR"/>
        </w:rPr>
      </w:pPr>
    </w:p>
    <w:p w:rsidR="003E7993" w:rsidRDefault="00930774">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 Le règlement de </w:t>
      </w:r>
      <w:r>
        <w:rPr>
          <w:rFonts w:ascii="Trebuchet MS" w:eastAsia="Trebuchet MS" w:hAnsi="Trebuchet MS" w:cs="Trebuchet MS"/>
          <w:color w:val="000000"/>
          <w:sz w:val="20"/>
          <w:lang w:val="fr-FR"/>
        </w:rPr>
        <w:t>la consultation (RC)</w:t>
      </w:r>
    </w:p>
    <w:p w:rsidR="003E7993" w:rsidRDefault="00930774">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L'acte d'engagement (AE) et ses annexes</w:t>
      </w:r>
    </w:p>
    <w:p w:rsidR="003E7993" w:rsidRDefault="00930774">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cahier des clauses administratives particulières (CCAP)</w:t>
      </w:r>
    </w:p>
    <w:p w:rsidR="003E7993" w:rsidRDefault="00930774">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cahier des clauses techniques particulières (CCTP) et ses annexes</w:t>
      </w:r>
    </w:p>
    <w:p w:rsidR="003E7993" w:rsidRDefault="00930774">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bordereau des prix unitaires (BPU)</w:t>
      </w:r>
    </w:p>
    <w:p w:rsidR="003E7993" w:rsidRDefault="00930774">
      <w:pPr>
        <w:spacing w:after="100"/>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détail quantitat</w:t>
      </w:r>
      <w:r>
        <w:rPr>
          <w:rFonts w:ascii="Trebuchet MS" w:eastAsia="Trebuchet MS" w:hAnsi="Trebuchet MS" w:cs="Trebuchet MS"/>
          <w:color w:val="000000"/>
          <w:sz w:val="20"/>
          <w:lang w:val="fr-FR"/>
        </w:rPr>
        <w:t>if estimatif (DQE)</w:t>
      </w:r>
    </w:p>
    <w:p w:rsidR="003E7993" w:rsidRDefault="003E7993">
      <w:pPr>
        <w:spacing w:after="120" w:line="240" w:lineRule="exact"/>
      </w:pPr>
    </w:p>
    <w:p w:rsidR="003E7993" w:rsidRDefault="00930774">
      <w:pPr>
        <w:pStyle w:val="ParagrapheIndent1"/>
        <w:spacing w:after="240"/>
        <w:ind w:left="20" w:right="20"/>
        <w:jc w:val="both"/>
        <w:rPr>
          <w:color w:val="000000"/>
          <w:lang w:val="fr-FR"/>
        </w:rPr>
      </w:pPr>
      <w:r>
        <w:rPr>
          <w:color w:val="000000"/>
          <w:lang w:val="fr-FR"/>
        </w:rPr>
        <w:t>Il est remis gratuitement à chaque candidat.</w:t>
      </w:r>
    </w:p>
    <w:p w:rsidR="003E7993" w:rsidRDefault="00930774">
      <w:pPr>
        <w:pStyle w:val="ParagrapheIndent1"/>
        <w:spacing w:after="240"/>
        <w:ind w:left="20" w:right="20"/>
        <w:jc w:val="both"/>
        <w:rPr>
          <w:color w:val="000000"/>
          <w:lang w:val="fr-FR"/>
        </w:rPr>
      </w:pPr>
      <w:r>
        <w:rPr>
          <w:color w:val="000000"/>
          <w:lang w:val="fr-FR"/>
        </w:rPr>
        <w:t>Aucune demande d'envoi du DCE sur support physique électronique n'est autorisée.</w:t>
      </w:r>
    </w:p>
    <w:p w:rsidR="003E7993" w:rsidRDefault="00930774">
      <w:pPr>
        <w:pStyle w:val="ParagrapheIndent1"/>
        <w:spacing w:line="232" w:lineRule="exact"/>
        <w:ind w:left="20" w:right="20"/>
        <w:jc w:val="both"/>
        <w:rPr>
          <w:color w:val="000000"/>
          <w:lang w:val="fr-FR"/>
        </w:rPr>
      </w:pPr>
      <w:r>
        <w:rPr>
          <w:color w:val="000000"/>
          <w:lang w:val="fr-FR"/>
        </w:rPr>
        <w:t xml:space="preserve">Le pouvoir adjudicateur se réserve le droit d'apporter des modifications de détail au dossier de consultation </w:t>
      </w:r>
      <w:r>
        <w:rPr>
          <w:color w:val="000000"/>
          <w:lang w:val="fr-FR"/>
        </w:rPr>
        <w:t>au plus tard 11 jours avant la date limite de réception des offres. Ce délai est décompté à partir de la date d'envoi par le pouvoir adjudicateur des modifications aux candidats ayant retiré le dossier initial. Les candidats devront alors répondre sur la b</w:t>
      </w:r>
      <w:r>
        <w:rPr>
          <w:color w:val="000000"/>
          <w:lang w:val="fr-FR"/>
        </w:rPr>
        <w:t>ase du dossier modifié sans pouvoir n'élever aucune réclamation à ce sujet.</w:t>
      </w:r>
    </w:p>
    <w:p w:rsidR="003E7993" w:rsidRDefault="003E7993">
      <w:pPr>
        <w:pStyle w:val="ParagrapheIndent1"/>
        <w:spacing w:line="232" w:lineRule="exact"/>
        <w:ind w:left="20" w:right="20"/>
        <w:jc w:val="both"/>
        <w:rPr>
          <w:color w:val="000000"/>
          <w:lang w:val="fr-FR"/>
        </w:rPr>
      </w:pPr>
    </w:p>
    <w:p w:rsidR="003E7993" w:rsidRDefault="00930774">
      <w:pPr>
        <w:pStyle w:val="ParagrapheIndent1"/>
        <w:spacing w:after="240" w:line="232" w:lineRule="exact"/>
        <w:ind w:left="20" w:right="20"/>
        <w:jc w:val="both"/>
        <w:rPr>
          <w:color w:val="000000"/>
          <w:lang w:val="fr-FR"/>
        </w:rPr>
      </w:pPr>
      <w:r>
        <w:rPr>
          <w:color w:val="000000"/>
          <w:lang w:val="fr-FR"/>
        </w:rPr>
        <w:t>Si, pendant l'étude du dossier par les candidats, la date limite de réception des offres est reportée, la disposition précédente est applicable en fonction de cette nouvelle date.</w:t>
      </w:r>
    </w:p>
    <w:p w:rsidR="003E7993" w:rsidRDefault="00930774">
      <w:pPr>
        <w:pStyle w:val="Titre1"/>
        <w:rPr>
          <w:rFonts w:ascii="Trebuchet MS" w:eastAsia="Trebuchet MS" w:hAnsi="Trebuchet MS" w:cs="Trebuchet MS"/>
          <w:color w:val="000000"/>
          <w:sz w:val="28"/>
          <w:lang w:val="fr-FR"/>
        </w:rPr>
      </w:pPr>
      <w:bookmarkStart w:id="15" w:name="_Toc256000014"/>
      <w:r>
        <w:rPr>
          <w:rFonts w:ascii="Trebuchet MS" w:eastAsia="Trebuchet MS" w:hAnsi="Trebuchet MS" w:cs="Trebuchet MS"/>
          <w:color w:val="000000"/>
          <w:sz w:val="28"/>
          <w:lang w:val="fr-FR"/>
        </w:rPr>
        <w:t>5 - Présentation des candidatures et des offres</w:t>
      </w:r>
      <w:bookmarkEnd w:id="15"/>
    </w:p>
    <w:p w:rsidR="003E7993" w:rsidRDefault="00930774">
      <w:pPr>
        <w:pStyle w:val="ParagrapheIndent1"/>
        <w:spacing w:after="240" w:line="232" w:lineRule="exact"/>
        <w:ind w:left="20" w:right="20"/>
        <w:jc w:val="both"/>
        <w:rPr>
          <w:color w:val="000000"/>
          <w:lang w:val="fr-FR"/>
        </w:rPr>
      </w:pPr>
      <w:r>
        <w:rPr>
          <w:color w:val="000000"/>
          <w:lang w:val="fr-FR"/>
        </w:rPr>
        <w:t>Le pouvoir adjudicateur applique le principe "Dites-le nous une fois". Par conséquent, les candidats ne sont pas tenus de fournir les documents et renseignements qui ont déjà été transmis dans le cadre d'une</w:t>
      </w:r>
      <w:r>
        <w:rPr>
          <w:color w:val="000000"/>
          <w:lang w:val="fr-FR"/>
        </w:rPr>
        <w:t xml:space="preserve"> précédente consultation et qui demeurent valables.</w:t>
      </w:r>
    </w:p>
    <w:p w:rsidR="003E7993" w:rsidRDefault="00930774">
      <w:pPr>
        <w:pStyle w:val="ParagrapheIndent1"/>
        <w:spacing w:line="232" w:lineRule="exact"/>
        <w:ind w:left="20" w:right="20"/>
        <w:jc w:val="both"/>
        <w:rPr>
          <w:color w:val="000000"/>
          <w:lang w:val="fr-FR"/>
        </w:rPr>
      </w:pPr>
      <w:r>
        <w:rPr>
          <w:color w:val="000000"/>
          <w:lang w:val="fr-FR"/>
        </w:rPr>
        <w:t>Les offres des candidats seront entièrement rédigées en langue française et exprimées en EURO.</w:t>
      </w:r>
    </w:p>
    <w:p w:rsidR="003E7993" w:rsidRDefault="00930774">
      <w:pPr>
        <w:pStyle w:val="ParagrapheIndent1"/>
        <w:spacing w:after="240" w:line="232" w:lineRule="exact"/>
        <w:ind w:left="20" w:right="20"/>
        <w:jc w:val="both"/>
        <w:rPr>
          <w:color w:val="000000"/>
          <w:lang w:val="fr-FR"/>
        </w:rPr>
      </w:pPr>
      <w:r>
        <w:rPr>
          <w:color w:val="000000"/>
          <w:lang w:val="fr-FR"/>
        </w:rPr>
        <w:t>Si les offres des candidats sont rédigées dans une autre langue, elles doivent être accompagnées d'une traduc</w:t>
      </w:r>
      <w:r>
        <w:rPr>
          <w:color w:val="000000"/>
          <w:lang w:val="fr-FR"/>
        </w:rPr>
        <w:t>tion en français, cette traduction doit concerner l'ensemble des documents remis dans l'offre.</w:t>
      </w:r>
    </w:p>
    <w:p w:rsidR="003E7993" w:rsidRDefault="00930774">
      <w:pPr>
        <w:pStyle w:val="Titre2"/>
        <w:ind w:left="300" w:right="20"/>
        <w:rPr>
          <w:rFonts w:ascii="Trebuchet MS" w:eastAsia="Trebuchet MS" w:hAnsi="Trebuchet MS" w:cs="Trebuchet MS"/>
          <w:i w:val="0"/>
          <w:color w:val="000000"/>
          <w:sz w:val="24"/>
          <w:lang w:val="fr-FR"/>
        </w:rPr>
      </w:pPr>
      <w:bookmarkStart w:id="16" w:name="_Toc256000015"/>
      <w:r>
        <w:rPr>
          <w:rFonts w:ascii="Trebuchet MS" w:eastAsia="Trebuchet MS" w:hAnsi="Trebuchet MS" w:cs="Trebuchet MS"/>
          <w:i w:val="0"/>
          <w:color w:val="000000"/>
          <w:sz w:val="24"/>
          <w:lang w:val="fr-FR"/>
        </w:rPr>
        <w:t>5.1 - Documents à produire</w:t>
      </w:r>
      <w:bookmarkEnd w:id="16"/>
    </w:p>
    <w:p w:rsidR="003E7993" w:rsidRDefault="00930774">
      <w:pPr>
        <w:pStyle w:val="ParagrapheIndent2"/>
        <w:spacing w:line="232" w:lineRule="exact"/>
        <w:ind w:left="20" w:right="20"/>
        <w:jc w:val="both"/>
        <w:rPr>
          <w:color w:val="000000"/>
          <w:lang w:val="fr-FR"/>
        </w:rPr>
      </w:pPr>
      <w:r>
        <w:rPr>
          <w:color w:val="000000"/>
          <w:lang w:val="fr-FR"/>
        </w:rPr>
        <w:t>Chaque candidat aura à produire un dossier complet comprenant les pièces suivantes :</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 xml:space="preserve">Pièces de la candidature telles que prévues aux </w:t>
      </w:r>
      <w:r>
        <w:rPr>
          <w:color w:val="000000"/>
          <w:lang w:val="fr-FR"/>
        </w:rPr>
        <w:t>articles L. 2142-1, R. 2142-3, R. 2142-4, R. 2143-3 et R. 2143-4 du Code de la commande publique :</w:t>
      </w:r>
    </w:p>
    <w:p w:rsidR="003E7993" w:rsidRDefault="003E7993">
      <w:pPr>
        <w:pStyle w:val="ParagrapheIndent2"/>
        <w:spacing w:after="80" w:line="232" w:lineRule="exact"/>
        <w:ind w:left="20" w:right="20"/>
        <w:jc w:val="both"/>
        <w:rPr>
          <w:color w:val="000000"/>
          <w:lang w:val="fr-FR"/>
        </w:rPr>
        <w:sectPr w:rsidR="003E7993">
          <w:footerReference w:type="default" r:id="rId8"/>
          <w:pgSz w:w="11900" w:h="16840"/>
          <w:pgMar w:top="1134" w:right="1134" w:bottom="1126" w:left="1134" w:header="1134" w:footer="1126" w:gutter="0"/>
          <w:cols w:space="708"/>
        </w:sectPr>
      </w:pPr>
    </w:p>
    <w:p w:rsidR="003E7993" w:rsidRDefault="003E7993">
      <w:pPr>
        <w:spacing w:line="20" w:lineRule="exact"/>
        <w:rPr>
          <w:sz w:val="2"/>
        </w:rPr>
      </w:pP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Renseignements concernant la situation juridique de l'entreprise :</w:t>
      </w:r>
    </w:p>
    <w:p w:rsidR="003E7993" w:rsidRDefault="003E7993">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3E7993">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3E7993">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sur l'honneur pour justifier que le candidat n'entre dans aucun des cas d'interdiction de soumissionner</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3E7993">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Justification de l'habilitation de la personne ayant les pouvoirs d'engager l'entreprise.</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3E7993">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Renseignements sur </w:t>
            </w:r>
            <w:r>
              <w:rPr>
                <w:rFonts w:ascii="Trebuchet MS" w:eastAsia="Trebuchet MS" w:hAnsi="Trebuchet MS" w:cs="Trebuchet MS"/>
                <w:color w:val="000000"/>
                <w:sz w:val="20"/>
                <w:lang w:val="fr-FR"/>
              </w:rPr>
              <w:t>le respect de l'obligation d'emploi mentionnée aux articles L. 5212-1 à L. 5212-11 du Code du travail</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3E7993" w:rsidRDefault="00930774">
      <w:pPr>
        <w:spacing w:line="240" w:lineRule="exact"/>
      </w:pPr>
      <w:r>
        <w:t xml:space="preserve"> </w:t>
      </w:r>
    </w:p>
    <w:p w:rsidR="003E7993" w:rsidRDefault="003E7993">
      <w:pPr>
        <w:spacing w:after="80" w:line="240" w:lineRule="exact"/>
      </w:pPr>
    </w:p>
    <w:p w:rsidR="003E7993" w:rsidRDefault="00930774">
      <w:pPr>
        <w:pStyle w:val="ParagrapheIndent2"/>
        <w:spacing w:line="232" w:lineRule="exact"/>
        <w:ind w:left="20" w:right="20"/>
        <w:jc w:val="both"/>
        <w:rPr>
          <w:color w:val="000000"/>
          <w:lang w:val="fr-FR"/>
        </w:rPr>
      </w:pPr>
      <w:r>
        <w:rPr>
          <w:color w:val="000000"/>
          <w:lang w:val="fr-FR"/>
        </w:rPr>
        <w:t>Renseignements concernant la capacité économique et financière de l'entreprise :</w:t>
      </w:r>
    </w:p>
    <w:p w:rsidR="003E7993" w:rsidRDefault="003E7993">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3E7993">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3E7993">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Déclaration concernant le chiffre </w:t>
            </w:r>
            <w:r>
              <w:rPr>
                <w:rFonts w:ascii="Trebuchet MS" w:eastAsia="Trebuchet MS" w:hAnsi="Trebuchet MS" w:cs="Trebuchet MS"/>
                <w:color w:val="000000"/>
                <w:sz w:val="20"/>
                <w:lang w:val="fr-FR"/>
              </w:rPr>
              <w:t>d'affaires global et le chiffre d'affaires concernant les prestations objet du contrat, réalisées au cours des trois derniers exercices disponibles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3E7993"/>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3E7993" w:rsidRDefault="00930774">
      <w:pPr>
        <w:spacing w:line="240" w:lineRule="exact"/>
      </w:pPr>
      <w:r>
        <w:t xml:space="preserve"> </w:t>
      </w:r>
    </w:p>
    <w:p w:rsidR="003E7993" w:rsidRDefault="003E7993">
      <w:pPr>
        <w:spacing w:after="80" w:line="240" w:lineRule="exact"/>
      </w:pPr>
    </w:p>
    <w:p w:rsidR="003E7993" w:rsidRDefault="00930774">
      <w:pPr>
        <w:pStyle w:val="ParagrapheIndent2"/>
        <w:spacing w:line="232" w:lineRule="exact"/>
        <w:ind w:left="20" w:right="20"/>
        <w:jc w:val="both"/>
        <w:rPr>
          <w:color w:val="000000"/>
          <w:lang w:val="fr-FR"/>
        </w:rPr>
      </w:pPr>
      <w:r>
        <w:rPr>
          <w:color w:val="000000"/>
          <w:lang w:val="fr-FR"/>
        </w:rPr>
        <w:t xml:space="preserve">Renseignements concernant les références professionnelles et la capacité technique de l'entreprise </w:t>
      </w:r>
      <w:r>
        <w:rPr>
          <w:color w:val="000000"/>
          <w:lang w:val="fr-FR"/>
        </w:rPr>
        <w:t>:</w:t>
      </w:r>
    </w:p>
    <w:p w:rsidR="003E7993" w:rsidRDefault="003E7993">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3E7993">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3E7993">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indiquant les effectifs moyens annuels du candidat et l'importance du personnel d'encadrement pour chacune des trois dernières années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3E7993"/>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3E7993">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Déclaration indiquant l'outillage, le matériel et l'équipement technique </w:t>
            </w:r>
            <w:r>
              <w:rPr>
                <w:rFonts w:ascii="Trebuchet MS" w:eastAsia="Trebuchet MS" w:hAnsi="Trebuchet MS" w:cs="Trebuchet MS"/>
                <w:color w:val="000000"/>
                <w:sz w:val="20"/>
                <w:lang w:val="fr-FR"/>
              </w:rPr>
              <w:t>dont le candidat dispose pour la réalisation du contrat</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3E7993"/>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3E7993">
        <w:trPr>
          <w:trHeight w:val="414"/>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Agréments préfectoraux conformément aux dispositions des articles R325-19 et R325-24 du Code de la Route</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3E7993"/>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3E7993" w:rsidRDefault="00930774">
      <w:pPr>
        <w:spacing w:line="240" w:lineRule="exact"/>
      </w:pPr>
      <w:r>
        <w:t xml:space="preserve"> </w:t>
      </w:r>
    </w:p>
    <w:p w:rsidR="003E7993" w:rsidRDefault="003E7993">
      <w:pPr>
        <w:spacing w:after="80" w:line="240" w:lineRule="exact"/>
      </w:pPr>
    </w:p>
    <w:p w:rsidR="003E7993" w:rsidRDefault="00930774">
      <w:pPr>
        <w:pStyle w:val="ParagrapheIndent2"/>
        <w:spacing w:line="232" w:lineRule="exact"/>
        <w:ind w:left="20" w:right="20"/>
        <w:jc w:val="both"/>
        <w:rPr>
          <w:color w:val="000000"/>
          <w:lang w:val="fr-FR"/>
        </w:rPr>
      </w:pPr>
      <w:r>
        <w:rPr>
          <w:color w:val="000000"/>
          <w:lang w:val="fr-FR"/>
        </w:rPr>
        <w:t xml:space="preserve">Pour présenter leur candidature, les candidats peuvent utiliser les formulaires </w:t>
      </w:r>
      <w:r>
        <w:rPr>
          <w:color w:val="000000"/>
          <w:lang w:val="fr-FR"/>
        </w:rPr>
        <w:t>DC1 (lettre de candidature) et DC2 (déclaration du candidat). Ces documents sont disponibles gratuitement sur le site www.economie.gouv.fr.</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after="240" w:line="232" w:lineRule="exact"/>
        <w:ind w:left="20" w:right="20"/>
        <w:jc w:val="both"/>
        <w:rPr>
          <w:color w:val="000000"/>
          <w:lang w:val="fr-FR"/>
        </w:rPr>
      </w:pPr>
      <w:r>
        <w:rPr>
          <w:color w:val="000000"/>
          <w:lang w:val="fr-FR"/>
        </w:rPr>
        <w:t>Ils peuvent aussi utiliser le Document Unique de Marché Européen (DUME).</w:t>
      </w:r>
    </w:p>
    <w:p w:rsidR="003E7993" w:rsidRDefault="00930774">
      <w:pPr>
        <w:pStyle w:val="ParagrapheIndent2"/>
        <w:spacing w:after="240" w:line="232" w:lineRule="exact"/>
        <w:ind w:left="20" w:right="20"/>
        <w:jc w:val="both"/>
        <w:rPr>
          <w:color w:val="000000"/>
          <w:lang w:val="fr-FR"/>
        </w:rPr>
      </w:pPr>
      <w:r>
        <w:rPr>
          <w:color w:val="000000"/>
          <w:lang w:val="fr-FR"/>
        </w:rPr>
        <w:t>Pour justifier des capacités professionnel</w:t>
      </w:r>
      <w:r>
        <w:rPr>
          <w:color w:val="000000"/>
          <w:lang w:val="fr-FR"/>
        </w:rPr>
        <w:t xml:space="preserve">les, techniques et financières d'autres opérateurs économiques sur lesquels il s'appuie pour présenter sa candidature, le candidat produit les mêmes documents concernant cet opérateur économique que ceux qui lui sont exigés par le pouvoir adjudicateur. En </w:t>
      </w:r>
      <w:r>
        <w:rPr>
          <w:color w:val="000000"/>
          <w:lang w:val="fr-FR"/>
        </w:rPr>
        <w:t>outre, pour justifier qu'il dispose des capacités de cet opérateur économique pour l'exécution des prestations, le candidat produit un engagement écrit de l'opérateur économique.</w:t>
      </w:r>
    </w:p>
    <w:p w:rsidR="003E7993" w:rsidRDefault="00930774">
      <w:pPr>
        <w:pStyle w:val="ParagrapheIndent2"/>
        <w:spacing w:line="232" w:lineRule="exact"/>
        <w:ind w:left="20" w:right="20"/>
        <w:jc w:val="both"/>
        <w:rPr>
          <w:color w:val="000000"/>
          <w:lang w:val="fr-FR"/>
        </w:rPr>
      </w:pPr>
      <w:r>
        <w:rPr>
          <w:color w:val="000000"/>
          <w:lang w:val="fr-FR"/>
        </w:rPr>
        <w:t>Pièces de l'offre :</w:t>
      </w:r>
    </w:p>
    <w:p w:rsidR="003E7993" w:rsidRDefault="003E7993">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3E7993">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3E7993">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L'acte d'engagement (AE) et ses anne</w:t>
            </w:r>
            <w:r>
              <w:rPr>
                <w:rFonts w:ascii="Trebuchet MS" w:eastAsia="Trebuchet MS" w:hAnsi="Trebuchet MS" w:cs="Trebuchet MS"/>
                <w:color w:val="000000"/>
                <w:sz w:val="20"/>
                <w:lang w:val="fr-FR"/>
              </w:rPr>
              <w:t>xes</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Oui</w:t>
            </w:r>
          </w:p>
        </w:tc>
      </w:tr>
      <w:tr w:rsidR="003E7993">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bordereau des prix unitaires (BPU)</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3E7993">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détail quantitatif estimatif (DQE)</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3E7993">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mémoire justificatif des dispositions que l'entreprise se propose d'adopter pour l'exécution du contrat</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3E7993" w:rsidRDefault="003E7993">
      <w:pPr>
        <w:sectPr w:rsidR="003E7993">
          <w:footerReference w:type="default" r:id="rId9"/>
          <w:pgSz w:w="11900" w:h="16840"/>
          <w:pgMar w:top="1134" w:right="1134" w:bottom="1126" w:left="1134" w:header="1134" w:footer="1126" w:gutter="0"/>
          <w:cols w:space="708"/>
        </w:sectPr>
      </w:pPr>
    </w:p>
    <w:p w:rsidR="003E7993" w:rsidRDefault="003E7993">
      <w:pPr>
        <w:spacing w:after="20" w:line="240" w:lineRule="exact"/>
      </w:pPr>
    </w:p>
    <w:p w:rsidR="003E7993" w:rsidRDefault="00930774">
      <w:pPr>
        <w:pStyle w:val="ParagrapheIndent2"/>
        <w:spacing w:after="240" w:line="232" w:lineRule="exact"/>
        <w:ind w:left="20" w:right="20"/>
        <w:jc w:val="both"/>
        <w:rPr>
          <w:color w:val="000000"/>
          <w:lang w:val="fr-FR"/>
        </w:rPr>
      </w:pPr>
      <w:r>
        <w:rPr>
          <w:color w:val="000000"/>
          <w:lang w:val="fr-FR"/>
        </w:rPr>
        <w:t>L'offre, qu'elle soit présentée par une seule entreprise ou par un groupement, devra indiquer tous les sous-traitants connus lors de son dépôt. Elle devra également indiquer les prestations dont la sous-traitance est en</w:t>
      </w:r>
      <w:r>
        <w:rPr>
          <w:color w:val="000000"/>
          <w:lang w:val="fr-FR"/>
        </w:rPr>
        <w:t>visagée, la dénomination et la qualité des sous-traitants.</w:t>
      </w:r>
    </w:p>
    <w:p w:rsidR="003E7993" w:rsidRDefault="00930774">
      <w:pPr>
        <w:pStyle w:val="Titre1"/>
        <w:rPr>
          <w:rFonts w:ascii="Trebuchet MS" w:eastAsia="Trebuchet MS" w:hAnsi="Trebuchet MS" w:cs="Trebuchet MS"/>
          <w:color w:val="000000"/>
          <w:sz w:val="28"/>
          <w:lang w:val="fr-FR"/>
        </w:rPr>
      </w:pPr>
      <w:bookmarkStart w:id="17" w:name="_Toc256000016"/>
      <w:r>
        <w:rPr>
          <w:rFonts w:ascii="Trebuchet MS" w:eastAsia="Trebuchet MS" w:hAnsi="Trebuchet MS" w:cs="Trebuchet MS"/>
          <w:color w:val="000000"/>
          <w:sz w:val="28"/>
          <w:lang w:val="fr-FR"/>
        </w:rPr>
        <w:t>6 - Conditions d'envoi ou de remise des plis</w:t>
      </w:r>
      <w:bookmarkEnd w:id="17"/>
    </w:p>
    <w:p w:rsidR="003E7993" w:rsidRDefault="00930774">
      <w:pPr>
        <w:pStyle w:val="ParagrapheIndent1"/>
        <w:spacing w:after="240" w:line="232" w:lineRule="exact"/>
        <w:ind w:left="20" w:right="20"/>
        <w:jc w:val="both"/>
        <w:rPr>
          <w:color w:val="000000"/>
          <w:lang w:val="fr-FR"/>
        </w:rPr>
      </w:pPr>
      <w:r>
        <w:rPr>
          <w:color w:val="000000"/>
          <w:lang w:val="fr-FR"/>
        </w:rPr>
        <w:t>Les plis devront parvenir à destination avant la date et l'heure limites de réception des offres indiquées sur la page de garde du présent document.</w:t>
      </w:r>
    </w:p>
    <w:p w:rsidR="003E7993" w:rsidRDefault="00930774">
      <w:pPr>
        <w:pStyle w:val="Titre2"/>
        <w:ind w:left="300" w:right="20"/>
        <w:rPr>
          <w:rFonts w:ascii="Trebuchet MS" w:eastAsia="Trebuchet MS" w:hAnsi="Trebuchet MS" w:cs="Trebuchet MS"/>
          <w:i w:val="0"/>
          <w:color w:val="000000"/>
          <w:sz w:val="24"/>
          <w:lang w:val="fr-FR"/>
        </w:rPr>
      </w:pPr>
      <w:bookmarkStart w:id="18" w:name="_Toc256000017"/>
      <w:r>
        <w:rPr>
          <w:rFonts w:ascii="Trebuchet MS" w:eastAsia="Trebuchet MS" w:hAnsi="Trebuchet MS" w:cs="Trebuchet MS"/>
          <w:i w:val="0"/>
          <w:color w:val="000000"/>
          <w:sz w:val="24"/>
          <w:lang w:val="fr-FR"/>
        </w:rPr>
        <w:t>6.1</w:t>
      </w:r>
      <w:r>
        <w:rPr>
          <w:rFonts w:ascii="Trebuchet MS" w:eastAsia="Trebuchet MS" w:hAnsi="Trebuchet MS" w:cs="Trebuchet MS"/>
          <w:i w:val="0"/>
          <w:color w:val="000000"/>
          <w:sz w:val="24"/>
          <w:lang w:val="fr-FR"/>
        </w:rPr>
        <w:t xml:space="preserve"> - Transmission électronique</w:t>
      </w:r>
      <w:bookmarkEnd w:id="18"/>
    </w:p>
    <w:p w:rsidR="003E7993" w:rsidRDefault="00930774">
      <w:pPr>
        <w:pStyle w:val="ParagrapheIndent2"/>
        <w:spacing w:line="232" w:lineRule="exact"/>
        <w:ind w:left="20" w:right="20"/>
        <w:jc w:val="both"/>
        <w:rPr>
          <w:color w:val="000000"/>
          <w:lang w:val="fr-FR"/>
        </w:rPr>
      </w:pPr>
      <w:r>
        <w:rPr>
          <w:color w:val="000000"/>
          <w:lang w:val="fr-FR"/>
        </w:rPr>
        <w:t>La transmission des documents par voie électronique est effectuée sur le profil d'acheteur du pouvoir adjudicateur, à l'adresse URL suivante : http://agysoft.marches-publics.info.</w:t>
      </w:r>
    </w:p>
    <w:p w:rsidR="003E7993" w:rsidRDefault="003E7993">
      <w:pPr>
        <w:pStyle w:val="ParagrapheIndent2"/>
        <w:spacing w:line="232" w:lineRule="exact"/>
        <w:ind w:left="20" w:right="20"/>
        <w:jc w:val="both"/>
        <w:rPr>
          <w:color w:val="000000"/>
          <w:lang w:val="fr-FR"/>
        </w:rPr>
      </w:pP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after="240" w:line="232" w:lineRule="exact"/>
        <w:ind w:left="20" w:right="20"/>
        <w:jc w:val="both"/>
        <w:rPr>
          <w:color w:val="000000"/>
          <w:lang w:val="fr-FR"/>
        </w:rPr>
      </w:pPr>
      <w:r>
        <w:rPr>
          <w:color w:val="000000"/>
          <w:lang w:val="fr-FR"/>
        </w:rPr>
        <w:t>Le choix du mode de transmission est global e</w:t>
      </w:r>
      <w:r>
        <w:rPr>
          <w:color w:val="000000"/>
          <w:lang w:val="fr-FR"/>
        </w:rPr>
        <w:t>t irréversible. Les candidats doivent appliquer le même mode de transmission à l'ensemble des documents transmis au pouvoir adjudicateur.</w:t>
      </w:r>
    </w:p>
    <w:p w:rsidR="003E7993" w:rsidRDefault="00930774">
      <w:pPr>
        <w:pStyle w:val="ParagrapheIndent2"/>
        <w:spacing w:line="232" w:lineRule="exact"/>
        <w:ind w:left="20" w:right="20"/>
        <w:jc w:val="both"/>
        <w:rPr>
          <w:color w:val="000000"/>
          <w:lang w:val="fr-FR"/>
        </w:rPr>
      </w:pPr>
      <w:r>
        <w:rPr>
          <w:color w:val="000000"/>
          <w:lang w:val="fr-FR"/>
        </w:rPr>
        <w:t>Le pli doit contenir deux dossiers distincts comportant respectivement les pièces de la candidature et les pièces de l</w:t>
      </w:r>
      <w:r>
        <w:rPr>
          <w:color w:val="000000"/>
          <w:lang w:val="fr-FR"/>
        </w:rPr>
        <w:t>'offre définies au présent règlement de la consultation.</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Chaque transmission fera l'objet d'une date certaine de réception et d'un accusé de réception électronique. A ce titre, le fuseau horaire de référence est celui de (GMT+01:00) Paris, Bruxelles, Cope</w:t>
      </w:r>
      <w:r>
        <w:rPr>
          <w:color w:val="000000"/>
          <w:lang w:val="fr-FR"/>
        </w:rPr>
        <w:t>nhague, Madrid. Le pli sera considéré « hors délai » si le téléchargement se termine après la date et l'heure limites de réception des offres.</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after="240" w:line="232" w:lineRule="exact"/>
        <w:ind w:left="20" w:right="20"/>
        <w:jc w:val="both"/>
        <w:rPr>
          <w:color w:val="000000"/>
          <w:lang w:val="fr-FR"/>
        </w:rPr>
      </w:pPr>
      <w:r>
        <w:rPr>
          <w:color w:val="000000"/>
          <w:lang w:val="fr-FR"/>
        </w:rPr>
        <w:t>Si une nouvelle offre est envoyée par voie électronique par le même candidat, celle-ci annule et remplace l'offr</w:t>
      </w:r>
      <w:r>
        <w:rPr>
          <w:color w:val="000000"/>
          <w:lang w:val="fr-FR"/>
        </w:rPr>
        <w:t>e précédente.</w:t>
      </w:r>
    </w:p>
    <w:p w:rsidR="003E7993" w:rsidRDefault="00930774">
      <w:pPr>
        <w:pStyle w:val="ParagrapheIndent2"/>
        <w:spacing w:line="232" w:lineRule="exact"/>
        <w:ind w:left="20" w:right="20"/>
        <w:jc w:val="both"/>
        <w:rPr>
          <w:color w:val="000000"/>
          <w:lang w:val="fr-FR"/>
        </w:rPr>
      </w:pPr>
      <w:r>
        <w:rPr>
          <w:color w:val="000000"/>
          <w:lang w:val="fr-FR"/>
        </w:rPr>
        <w:t>Le pli peut être doublé d'une copie de sauvegarde transmise dans les délais impartis, sur support physique électronique (CD-ROM, DVD-ROM, clé usb) ou sur support papier. Cette copie doit être placée dans un pli portant la mention « copie de s</w:t>
      </w:r>
      <w:r>
        <w:rPr>
          <w:color w:val="000000"/>
          <w:lang w:val="fr-FR"/>
        </w:rPr>
        <w:t>auvegarde », ainsi que le nom du candidat et l'identification de la procédure concernée. Elle est ouverte dans les cas suivants :</w:t>
      </w:r>
    </w:p>
    <w:p w:rsidR="003E7993" w:rsidRDefault="00930774">
      <w:pPr>
        <w:pStyle w:val="ParagrapheIndent2"/>
        <w:spacing w:line="232" w:lineRule="exact"/>
        <w:ind w:left="20" w:right="20"/>
        <w:jc w:val="both"/>
        <w:rPr>
          <w:color w:val="000000"/>
          <w:lang w:val="fr-FR"/>
        </w:rPr>
      </w:pPr>
      <w:r>
        <w:rPr>
          <w:color w:val="000000"/>
          <w:lang w:val="fr-FR"/>
        </w:rPr>
        <w:t>- lorsqu'un programme informatique malveillant est détecté dans le pli transmis par voie électronique ;</w:t>
      </w:r>
    </w:p>
    <w:p w:rsidR="003E7993" w:rsidRDefault="00930774">
      <w:pPr>
        <w:pStyle w:val="ParagrapheIndent2"/>
        <w:spacing w:line="232" w:lineRule="exact"/>
        <w:ind w:left="20" w:right="20"/>
        <w:jc w:val="both"/>
        <w:rPr>
          <w:color w:val="000000"/>
          <w:lang w:val="fr-FR"/>
        </w:rPr>
      </w:pPr>
      <w:r>
        <w:rPr>
          <w:color w:val="000000"/>
          <w:lang w:val="fr-FR"/>
        </w:rPr>
        <w:t>- lorsque le pli élect</w:t>
      </w:r>
      <w:r>
        <w:rPr>
          <w:color w:val="000000"/>
          <w:lang w:val="fr-FR"/>
        </w:rPr>
        <w:t>ronique est reçu de façon incomplète, hors délai ou n'a pu être ouvert, à condition que sa transmission ait commencé avant la clôture de la remise des plis.</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La copie de sauvegarde peut être transmise ou déposée à l'adresse suivante :</w:t>
      </w:r>
    </w:p>
    <w:p w:rsidR="003E7993" w:rsidRDefault="00930774">
      <w:pPr>
        <w:pStyle w:val="ParagrapheIndent2"/>
        <w:spacing w:line="232" w:lineRule="exact"/>
        <w:ind w:left="20" w:right="20"/>
        <w:jc w:val="both"/>
        <w:rPr>
          <w:color w:val="000000"/>
          <w:lang w:val="fr-FR"/>
        </w:rPr>
      </w:pPr>
      <w:r>
        <w:rPr>
          <w:color w:val="000000"/>
          <w:lang w:val="fr-FR"/>
        </w:rPr>
        <w:t>Non renseigné</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Bâtiment Saint-Roch</w:t>
      </w:r>
    </w:p>
    <w:p w:rsidR="003E7993" w:rsidRDefault="00930774">
      <w:pPr>
        <w:pStyle w:val="ParagrapheIndent2"/>
        <w:spacing w:line="232" w:lineRule="exact"/>
        <w:ind w:left="20" w:right="20"/>
        <w:jc w:val="both"/>
        <w:rPr>
          <w:color w:val="000000"/>
          <w:lang w:val="fr-FR"/>
        </w:rPr>
      </w:pPr>
      <w:r>
        <w:rPr>
          <w:color w:val="000000"/>
          <w:lang w:val="fr-FR"/>
        </w:rPr>
        <w:t>Avenue de Nice</w:t>
      </w:r>
    </w:p>
    <w:p w:rsidR="003E7993" w:rsidRDefault="00930774">
      <w:pPr>
        <w:pStyle w:val="ParagrapheIndent2"/>
        <w:spacing w:line="232" w:lineRule="exact"/>
        <w:ind w:left="20" w:right="20"/>
        <w:jc w:val="both"/>
        <w:rPr>
          <w:color w:val="000000"/>
          <w:lang w:val="fr-FR"/>
        </w:rPr>
      </w:pPr>
      <w:r>
        <w:rPr>
          <w:color w:val="000000"/>
          <w:lang w:val="fr-FR"/>
        </w:rPr>
        <w:t>13120 GARDANNE</w:t>
      </w:r>
    </w:p>
    <w:p w:rsidR="003E7993" w:rsidRDefault="003E7993">
      <w:pPr>
        <w:pStyle w:val="ParagrapheIndent2"/>
        <w:spacing w:after="240" w:line="232" w:lineRule="exact"/>
        <w:ind w:left="20" w:right="20"/>
        <w:jc w:val="both"/>
        <w:rPr>
          <w:color w:val="000000"/>
          <w:lang w:val="fr-FR"/>
        </w:rPr>
      </w:pPr>
    </w:p>
    <w:p w:rsidR="003E7993" w:rsidRDefault="00930774">
      <w:pPr>
        <w:pStyle w:val="ParagrapheIndent2"/>
        <w:spacing w:after="240" w:line="232" w:lineRule="exact"/>
        <w:ind w:left="20" w:right="20"/>
        <w:jc w:val="both"/>
        <w:rPr>
          <w:color w:val="000000"/>
          <w:lang w:val="fr-FR"/>
        </w:rPr>
      </w:pPr>
      <w:r>
        <w:rPr>
          <w:color w:val="000000"/>
          <w:lang w:val="fr-FR"/>
        </w:rPr>
        <w:t xml:space="preserve">Les formats électroniques dans lesquels les documents peuvent être transmis sont les suivants : Les candidats transmettront leurs réponses dans des formats de fichiers identiques à ceux des documents </w:t>
      </w:r>
      <w:r>
        <w:rPr>
          <w:color w:val="000000"/>
          <w:lang w:val="fr-FR"/>
        </w:rPr>
        <w:t>constituant le dossier de consultation des entreprises. Les formats PDF sont acceptés.</w:t>
      </w:r>
    </w:p>
    <w:p w:rsidR="003E7993" w:rsidRDefault="00930774">
      <w:pPr>
        <w:pStyle w:val="ParagrapheIndent2"/>
        <w:spacing w:line="232" w:lineRule="exact"/>
        <w:ind w:left="20" w:right="20"/>
        <w:jc w:val="both"/>
        <w:rPr>
          <w:color w:val="000000"/>
          <w:lang w:val="fr-FR"/>
        </w:rPr>
      </w:pPr>
      <w:r>
        <w:rPr>
          <w:color w:val="000000"/>
          <w:lang w:val="fr-FR"/>
        </w:rPr>
        <w:t>L'organisation et le nommage des fichiers attendus par le pouvoir adjudicateur est le suivant :</w:t>
      </w:r>
    </w:p>
    <w:p w:rsidR="003E7993" w:rsidRDefault="00930774">
      <w:pPr>
        <w:pStyle w:val="ParagrapheIndent2"/>
        <w:spacing w:after="240" w:line="232" w:lineRule="exact"/>
        <w:ind w:left="20" w:right="20"/>
        <w:jc w:val="both"/>
        <w:rPr>
          <w:color w:val="000000"/>
          <w:lang w:val="fr-FR"/>
        </w:rPr>
      </w:pPr>
      <w:r>
        <w:rPr>
          <w:color w:val="000000"/>
          <w:lang w:val="fr-FR"/>
        </w:rPr>
        <w:t>L'intitulé du fichier doit comprendre au maximum 45 caractères.</w:t>
      </w:r>
    </w:p>
    <w:p w:rsidR="003E7993" w:rsidRDefault="00930774">
      <w:pPr>
        <w:pStyle w:val="ParagrapheIndent2"/>
        <w:spacing w:line="232" w:lineRule="exact"/>
        <w:ind w:left="20" w:right="20"/>
        <w:jc w:val="both"/>
        <w:rPr>
          <w:color w:val="000000"/>
          <w:lang w:val="fr-FR"/>
        </w:rPr>
      </w:pPr>
      <w:r>
        <w:rPr>
          <w:color w:val="000000"/>
          <w:lang w:val="fr-FR"/>
        </w:rPr>
        <w:t>Chaque do</w:t>
      </w:r>
      <w:r>
        <w:rPr>
          <w:color w:val="000000"/>
          <w:lang w:val="fr-FR"/>
        </w:rPr>
        <w:t>cument pour lequel une signature est requise doit faire l'objet d'une signature électronique au format XAdES, CAdES ou PAdES. La signature électronique du pli ne vaut pas signature des documents qu'il contient.</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sectPr w:rsidR="003E7993">
          <w:footerReference w:type="default" r:id="rId10"/>
          <w:pgSz w:w="11900" w:h="16840"/>
          <w:pgMar w:top="1134" w:right="1134" w:bottom="1126" w:left="1134" w:header="1134" w:footer="1126" w:gutter="0"/>
          <w:cols w:space="708"/>
        </w:sectPr>
      </w:pPr>
      <w:r>
        <w:rPr>
          <w:color w:val="000000"/>
          <w:lang w:val="fr-FR"/>
        </w:rPr>
        <w:t xml:space="preserve">Conformément à l'arrêté du 22 mars 2019 relatif à la signature électronique des contrats de la commande </w:t>
      </w:r>
      <w:r>
        <w:rPr>
          <w:color w:val="000000"/>
          <w:lang w:val="fr-FR"/>
        </w:rPr>
        <w:cr/>
      </w:r>
    </w:p>
    <w:p w:rsidR="003E7993" w:rsidRDefault="003E7993">
      <w:pPr>
        <w:spacing w:line="20" w:lineRule="exact"/>
        <w:rPr>
          <w:sz w:val="2"/>
        </w:rPr>
      </w:pPr>
    </w:p>
    <w:p w:rsidR="003E7993" w:rsidRDefault="00930774">
      <w:pPr>
        <w:pStyle w:val="ParagrapheIndent2"/>
        <w:spacing w:line="232" w:lineRule="exact"/>
        <w:ind w:left="20" w:right="20"/>
        <w:jc w:val="both"/>
        <w:rPr>
          <w:color w:val="000000"/>
          <w:lang w:val="fr-FR"/>
        </w:rPr>
      </w:pPr>
      <w:r>
        <w:rPr>
          <w:color w:val="000000"/>
          <w:lang w:val="fr-FR"/>
        </w:rPr>
        <w:t xml:space="preserve">publique, la signature doit être une signature avancée reposant sur un certificat qualifié, tel que défini par le </w:t>
      </w:r>
      <w:r>
        <w:rPr>
          <w:color w:val="000000"/>
          <w:lang w:val="fr-FR"/>
        </w:rPr>
        <w:t>règlement européen n° 910/2014 du 23 juillet 2014 sur l'identification électronique et les services de confiance pour les transactions électroniques (eIDAS). Toutefois, les certificats de signature de type RGS demeurent valables jusqu'à leur expiration.</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L</w:t>
      </w:r>
      <w:r>
        <w:rPr>
          <w:color w:val="000000"/>
          <w:lang w:val="fr-FR"/>
        </w:rPr>
        <w:t>e certificat de signature qualifié est délivré par un prestataire de service de confiance qualifié répondant aux exigences du règlement eIDAS. Une liste de prestataires est disponible sur le site de l'ANSSI (https://www.ssi.gouv.fr/). Il peut aussi être dé</w:t>
      </w:r>
      <w:r>
        <w:rPr>
          <w:color w:val="000000"/>
          <w:lang w:val="fr-FR"/>
        </w:rPr>
        <w:t>livré par une autorité de certification, française ou étrangère. Le candidat devra alors démontrer son équivalence au règlement eIDAS.</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after="240" w:line="232" w:lineRule="exact"/>
        <w:ind w:left="20" w:right="20"/>
        <w:jc w:val="both"/>
        <w:rPr>
          <w:color w:val="000000"/>
          <w:lang w:val="fr-FR"/>
        </w:rPr>
      </w:pPr>
      <w:r>
        <w:rPr>
          <w:color w:val="000000"/>
          <w:lang w:val="fr-FR"/>
        </w:rPr>
        <w:t>Le candidat qui utilise un autre outil de signature que celui du profil d'acheteur, ou un certificat délivré par une aut</w:t>
      </w:r>
      <w:r>
        <w:rPr>
          <w:color w:val="000000"/>
          <w:lang w:val="fr-FR"/>
        </w:rPr>
        <w:t>re autorité de certification, doit transmettre gratuitement le mode d'emploi permettant la vérification de la validité de la signature.</w:t>
      </w:r>
    </w:p>
    <w:p w:rsidR="003E7993" w:rsidRDefault="00930774">
      <w:pPr>
        <w:pStyle w:val="ParagrapheIndent2"/>
        <w:spacing w:after="240"/>
        <w:ind w:left="20" w:right="20"/>
        <w:jc w:val="both"/>
        <w:rPr>
          <w:color w:val="000000"/>
          <w:lang w:val="fr-FR"/>
        </w:rPr>
      </w:pPr>
      <w:r>
        <w:rPr>
          <w:color w:val="000000"/>
          <w:lang w:val="fr-FR"/>
        </w:rPr>
        <w:t>La signature électronique du contrat par l'attributaire est exigée dans le cadre de cette consultation.</w:t>
      </w:r>
    </w:p>
    <w:p w:rsidR="003E7993" w:rsidRDefault="00930774">
      <w:pPr>
        <w:pStyle w:val="ParagrapheIndent2"/>
        <w:spacing w:after="240" w:line="232" w:lineRule="exact"/>
        <w:ind w:left="20" w:right="20"/>
        <w:jc w:val="both"/>
        <w:rPr>
          <w:color w:val="000000"/>
          <w:lang w:val="fr-FR"/>
        </w:rPr>
      </w:pPr>
      <w:r>
        <w:rPr>
          <w:color w:val="000000"/>
          <w:lang w:val="fr-FR"/>
        </w:rPr>
        <w:t xml:space="preserve">Pour signer </w:t>
      </w:r>
      <w:r>
        <w:rPr>
          <w:color w:val="000000"/>
          <w:lang w:val="fr-FR"/>
        </w:rPr>
        <w:t>électroniquement, le candidat peut utiliser l'un des trois formats de signature autorisés par la réglementation (XAdES, CAdES ou PAdES). Le pouvoir adjudicateur préconise toutefois l'utilisation d'une signature électronique au format pAdES.</w:t>
      </w:r>
    </w:p>
    <w:p w:rsidR="003E7993" w:rsidRDefault="00930774">
      <w:pPr>
        <w:pStyle w:val="ParagrapheIndent2"/>
        <w:spacing w:after="240" w:line="232" w:lineRule="exact"/>
        <w:ind w:left="20" w:right="20"/>
        <w:jc w:val="both"/>
        <w:rPr>
          <w:color w:val="000000"/>
          <w:lang w:val="fr-FR"/>
        </w:rPr>
      </w:pPr>
      <w:r>
        <w:rPr>
          <w:color w:val="000000"/>
          <w:lang w:val="fr-FR"/>
        </w:rPr>
        <w:t>Après attributi</w:t>
      </w:r>
      <w:r>
        <w:rPr>
          <w:color w:val="000000"/>
          <w:lang w:val="fr-FR"/>
        </w:rPr>
        <w:t>on, les candidats sont informés que l'offre électronique retenue sera transformée en offre papier, pour donner lieu à la signature manuscrite de l'accord-cadre par les parties.</w:t>
      </w:r>
    </w:p>
    <w:p w:rsidR="003E7993" w:rsidRDefault="00930774">
      <w:pPr>
        <w:pStyle w:val="ParagrapheIndent2"/>
        <w:spacing w:after="240"/>
        <w:ind w:left="20" w:right="20"/>
        <w:jc w:val="both"/>
        <w:rPr>
          <w:color w:val="000000"/>
          <w:lang w:val="fr-FR"/>
        </w:rPr>
      </w:pPr>
      <w:r>
        <w:rPr>
          <w:color w:val="000000"/>
          <w:lang w:val="fr-FR"/>
        </w:rPr>
        <w:t>Les frais d'accès au réseau et de recours à la signature électronique sont à la</w:t>
      </w:r>
      <w:r>
        <w:rPr>
          <w:color w:val="000000"/>
          <w:lang w:val="fr-FR"/>
        </w:rPr>
        <w:t xml:space="preserve"> charge des candidats.</w:t>
      </w:r>
    </w:p>
    <w:p w:rsidR="003E7993" w:rsidRDefault="00930774">
      <w:pPr>
        <w:pStyle w:val="ParagrapheIndent2"/>
        <w:spacing w:line="232" w:lineRule="exact"/>
        <w:ind w:left="20" w:right="20"/>
        <w:jc w:val="both"/>
        <w:rPr>
          <w:color w:val="000000"/>
          <w:lang w:val="fr-FR"/>
        </w:rPr>
      </w:pPr>
      <w:r>
        <w:rPr>
          <w:color w:val="000000"/>
          <w:lang w:val="fr-FR"/>
        </w:rPr>
        <w:t xml:space="preserve">Le candidat est invité à créer son "Espace entreprise" sur la plateforme AWS-Entreprise (https://www.marches-publics.info/fournisseurs.htm). Sur cette plateforme, le candidat pourra retrouver l'ensemble de ses retraits de dossier de </w:t>
      </w:r>
      <w:r>
        <w:rPr>
          <w:color w:val="000000"/>
          <w:lang w:val="fr-FR"/>
        </w:rPr>
        <w:t>consultation. L'inscription est un préalable obligatoire pour correspondre avec l'acheteur lors de chaque consultation (Questions/Réponses, Dépôt de candidatures et offres. . .). Elle permet également de bénéficier d'un service d'alertes sur les consultati</w:t>
      </w:r>
      <w:r>
        <w:rPr>
          <w:color w:val="000000"/>
          <w:lang w:val="fr-FR"/>
        </w:rPr>
        <w:t>ons (précisions, modifications, report de délais...).</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Par conséquent, il est recommandé d'indiquer une adresse mail durable pendant toute la durée de la procédure, en priorité l'adresse de l'interlocuteur principal du candidat, ainsi que la ou les adresse</w:t>
      </w:r>
      <w:r>
        <w:rPr>
          <w:color w:val="000000"/>
          <w:lang w:val="fr-FR"/>
        </w:rPr>
        <w:t>s de remplacement en cas d'absence de ce dernier. Le candidat ne pourra porter aucune réclamation s'il ne bénéficie pas de toutes les informations complémentaires diffusées par la plateforme lors du déroulement de la consultation, en raison d'une erreur qu</w:t>
      </w:r>
      <w:r>
        <w:rPr>
          <w:color w:val="000000"/>
          <w:lang w:val="fr-FR"/>
        </w:rPr>
        <w:t>'il aurait faite dans la saisie de son adresse, ou en cas de suppression de ladite adresse.</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Un service de dépôt "Attestation" permet au candidat de déposer en ligne son RIB, son KBIS, ses attestations d'assurance, sa liste nominative des travailleurs étra</w:t>
      </w:r>
      <w:r>
        <w:rPr>
          <w:color w:val="000000"/>
          <w:lang w:val="fr-FR"/>
        </w:rPr>
        <w:t>ngers, son attestation de régularité fiscale et son attestation semestrielle sociale dans un coffre-fort sécurisé. L'ensemble des acheteurs utilisateurs de la plateforme auront accès à ces informations.</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L'ensemble de ces services est fourni gratuitement a</w:t>
      </w:r>
      <w:r>
        <w:rPr>
          <w:color w:val="000000"/>
          <w:lang w:val="fr-FR"/>
        </w:rPr>
        <w:t>u candidat.</w:t>
      </w:r>
    </w:p>
    <w:p w:rsidR="003E7993" w:rsidRDefault="003E7993">
      <w:pPr>
        <w:pStyle w:val="ParagrapheIndent2"/>
        <w:spacing w:after="240" w:line="232" w:lineRule="exact"/>
        <w:ind w:left="20" w:right="20"/>
        <w:jc w:val="both"/>
        <w:rPr>
          <w:color w:val="000000"/>
          <w:lang w:val="fr-FR"/>
        </w:rPr>
      </w:pPr>
    </w:p>
    <w:p w:rsidR="003E7993" w:rsidRDefault="00930774">
      <w:pPr>
        <w:pStyle w:val="Titre2"/>
        <w:ind w:left="300" w:right="20"/>
        <w:rPr>
          <w:rFonts w:ascii="Trebuchet MS" w:eastAsia="Trebuchet MS" w:hAnsi="Trebuchet MS" w:cs="Trebuchet MS"/>
          <w:i w:val="0"/>
          <w:color w:val="000000"/>
          <w:sz w:val="24"/>
          <w:lang w:val="fr-FR"/>
        </w:rPr>
      </w:pPr>
      <w:bookmarkStart w:id="19" w:name="_Toc256000018"/>
      <w:r>
        <w:rPr>
          <w:rFonts w:ascii="Trebuchet MS" w:eastAsia="Trebuchet MS" w:hAnsi="Trebuchet MS" w:cs="Trebuchet MS"/>
          <w:i w:val="0"/>
          <w:color w:val="000000"/>
          <w:sz w:val="24"/>
          <w:lang w:val="fr-FR"/>
        </w:rPr>
        <w:t>6.2 - Transmission sous support papier</w:t>
      </w:r>
      <w:bookmarkEnd w:id="19"/>
    </w:p>
    <w:p w:rsidR="003E7993" w:rsidRDefault="00930774">
      <w:pPr>
        <w:pStyle w:val="ParagrapheIndent2"/>
        <w:spacing w:line="232" w:lineRule="exact"/>
        <w:ind w:left="20" w:right="20"/>
        <w:jc w:val="both"/>
        <w:rPr>
          <w:color w:val="000000"/>
          <w:lang w:val="fr-FR"/>
        </w:rPr>
        <w:sectPr w:rsidR="003E7993">
          <w:footerReference w:type="default" r:id="rId11"/>
          <w:pgSz w:w="11900" w:h="16840"/>
          <w:pgMar w:top="1134" w:right="1134" w:bottom="1126" w:left="1134" w:header="1134" w:footer="1126" w:gutter="0"/>
          <w:cols w:space="708"/>
        </w:sectPr>
      </w:pPr>
      <w:r>
        <w:rPr>
          <w:color w:val="000000"/>
          <w:lang w:val="fr-FR"/>
        </w:rPr>
        <w:t xml:space="preserve">La transmission des plis par voie électronique est imposée pour cette consultation. Par conséquent, la transmission par voie </w:t>
      </w:r>
      <w:r>
        <w:rPr>
          <w:color w:val="000000"/>
          <w:lang w:val="fr-FR"/>
        </w:rPr>
        <w:t>papier n'est pas autorisée.</w:t>
      </w:r>
      <w:r>
        <w:rPr>
          <w:color w:val="000000"/>
          <w:lang w:val="fr-FR"/>
        </w:rPr>
        <w:cr/>
      </w:r>
    </w:p>
    <w:p w:rsidR="003E7993" w:rsidRDefault="003E7993">
      <w:pPr>
        <w:spacing w:line="20" w:lineRule="exact"/>
        <w:rPr>
          <w:sz w:val="2"/>
        </w:rPr>
      </w:pPr>
    </w:p>
    <w:p w:rsidR="003E7993" w:rsidRDefault="00930774">
      <w:pPr>
        <w:pStyle w:val="Titre1"/>
        <w:rPr>
          <w:rFonts w:ascii="Trebuchet MS" w:eastAsia="Trebuchet MS" w:hAnsi="Trebuchet MS" w:cs="Trebuchet MS"/>
          <w:color w:val="000000"/>
          <w:sz w:val="28"/>
          <w:lang w:val="fr-FR"/>
        </w:rPr>
      </w:pPr>
      <w:bookmarkStart w:id="20" w:name="_Toc256000019"/>
      <w:r>
        <w:rPr>
          <w:rFonts w:ascii="Trebuchet MS" w:eastAsia="Trebuchet MS" w:hAnsi="Trebuchet MS" w:cs="Trebuchet MS"/>
          <w:color w:val="000000"/>
          <w:sz w:val="28"/>
          <w:lang w:val="fr-FR"/>
        </w:rPr>
        <w:t>7 - Examen des candidatures et des offres</w:t>
      </w:r>
      <w:bookmarkEnd w:id="20"/>
    </w:p>
    <w:p w:rsidR="003E7993" w:rsidRDefault="00930774">
      <w:pPr>
        <w:pStyle w:val="Titre2"/>
        <w:ind w:left="300" w:right="20"/>
        <w:rPr>
          <w:rFonts w:ascii="Trebuchet MS" w:eastAsia="Trebuchet MS" w:hAnsi="Trebuchet MS" w:cs="Trebuchet MS"/>
          <w:i w:val="0"/>
          <w:color w:val="000000"/>
          <w:sz w:val="24"/>
          <w:lang w:val="fr-FR"/>
        </w:rPr>
      </w:pPr>
      <w:bookmarkStart w:id="21" w:name="_Toc256000020"/>
      <w:r>
        <w:rPr>
          <w:rFonts w:ascii="Trebuchet MS" w:eastAsia="Trebuchet MS" w:hAnsi="Trebuchet MS" w:cs="Trebuchet MS"/>
          <w:i w:val="0"/>
          <w:color w:val="000000"/>
          <w:sz w:val="24"/>
          <w:lang w:val="fr-FR"/>
        </w:rPr>
        <w:t>7.1 - Sélection des candidatures</w:t>
      </w:r>
      <w:bookmarkEnd w:id="21"/>
    </w:p>
    <w:p w:rsidR="003E7993" w:rsidRDefault="00930774">
      <w:pPr>
        <w:pStyle w:val="ParagrapheIndent2"/>
        <w:spacing w:after="240" w:line="232" w:lineRule="exact"/>
        <w:ind w:left="20" w:right="20"/>
        <w:jc w:val="both"/>
        <w:rPr>
          <w:color w:val="000000"/>
          <w:lang w:val="fr-FR"/>
        </w:rPr>
      </w:pPr>
      <w:r>
        <w:rPr>
          <w:color w:val="000000"/>
          <w:lang w:val="fr-FR"/>
        </w:rPr>
        <w:t>Avant de procéder à l'examen des candidatures, s'il apparaît que des pièces du dossier de candidature sont manquantes ou incomplètes, le pouvoir adjudi</w:t>
      </w:r>
      <w:r>
        <w:rPr>
          <w:color w:val="000000"/>
          <w:lang w:val="fr-FR"/>
        </w:rPr>
        <w:t>cateur peut décider de demander à tous les candidats concernés de produire ou compléter ces pièces dans un délai maximum de 10 jours.</w:t>
      </w:r>
    </w:p>
    <w:p w:rsidR="003E7993" w:rsidRDefault="00930774">
      <w:pPr>
        <w:pStyle w:val="ParagrapheIndent2"/>
        <w:spacing w:after="240" w:line="232" w:lineRule="exact"/>
        <w:ind w:left="20" w:right="20"/>
        <w:jc w:val="both"/>
        <w:rPr>
          <w:color w:val="000000"/>
          <w:lang w:val="fr-FR"/>
        </w:rPr>
      </w:pPr>
      <w:r>
        <w:rPr>
          <w:color w:val="000000"/>
          <w:lang w:val="fr-FR"/>
        </w:rPr>
        <w:t>Les candidatures conformes et recevables seront examinées, à partir des seuls renseignements et documents exigés dans le c</w:t>
      </w:r>
      <w:r>
        <w:rPr>
          <w:color w:val="000000"/>
          <w:lang w:val="fr-FR"/>
        </w:rPr>
        <w:t>adre de cette consultation, pour évaluer leur situation juridique ainsi que leurs capacités professionnelles, techniques et financières.</w:t>
      </w:r>
    </w:p>
    <w:p w:rsidR="003E7993" w:rsidRDefault="00930774">
      <w:pPr>
        <w:pStyle w:val="Titre2"/>
        <w:ind w:left="300" w:right="20"/>
        <w:rPr>
          <w:rFonts w:ascii="Trebuchet MS" w:eastAsia="Trebuchet MS" w:hAnsi="Trebuchet MS" w:cs="Trebuchet MS"/>
          <w:i w:val="0"/>
          <w:color w:val="000000"/>
          <w:sz w:val="24"/>
          <w:lang w:val="fr-FR"/>
        </w:rPr>
      </w:pPr>
      <w:bookmarkStart w:id="22" w:name="_Toc256000021"/>
      <w:r>
        <w:rPr>
          <w:rFonts w:ascii="Trebuchet MS" w:eastAsia="Trebuchet MS" w:hAnsi="Trebuchet MS" w:cs="Trebuchet MS"/>
          <w:i w:val="0"/>
          <w:color w:val="000000"/>
          <w:sz w:val="24"/>
          <w:lang w:val="fr-FR"/>
        </w:rPr>
        <w:t>7.2 - Attribution des marchés</w:t>
      </w:r>
      <w:bookmarkEnd w:id="22"/>
    </w:p>
    <w:p w:rsidR="003E7993" w:rsidRDefault="00930774">
      <w:pPr>
        <w:pStyle w:val="ParagrapheIndent2"/>
        <w:spacing w:line="232" w:lineRule="exact"/>
        <w:ind w:left="20" w:right="20"/>
        <w:jc w:val="both"/>
        <w:rPr>
          <w:color w:val="000000"/>
          <w:lang w:val="fr-FR"/>
        </w:rPr>
      </w:pPr>
      <w:r>
        <w:rPr>
          <w:color w:val="000000"/>
          <w:lang w:val="fr-FR"/>
        </w:rPr>
        <w:t xml:space="preserve">Le jugement des offres sera effectué dans les conditions prévues aux articles L.2152-1 à </w:t>
      </w:r>
      <w:r>
        <w:rPr>
          <w:color w:val="000000"/>
          <w:lang w:val="fr-FR"/>
        </w:rPr>
        <w:t>L.2152-4, R. 2152-1 et R. 2152-2 du Code de la commande publique et donnera lieu à un classement des offres.</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L'attention des candidats est attirée sur le fait que toute offre irrégulière ou inacceptable pourra être régularisée pendant la négociation, et q</w:t>
      </w:r>
      <w:r>
        <w:rPr>
          <w:color w:val="000000"/>
          <w:lang w:val="fr-FR"/>
        </w:rPr>
        <w:t>ue seule une offre irrégulière pourra être régularisée en l'absence de négociation. En revanche, toute offre inappropriée sera systématiquement éliminée.</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Toute offre demeurant irrégulière pourra être régularisée dans un délai approprié.</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after="240" w:line="232" w:lineRule="exact"/>
        <w:ind w:left="20" w:right="20"/>
        <w:jc w:val="both"/>
        <w:rPr>
          <w:color w:val="000000"/>
          <w:lang w:val="fr-FR"/>
        </w:rPr>
      </w:pPr>
      <w:r>
        <w:rPr>
          <w:color w:val="000000"/>
          <w:lang w:val="fr-FR"/>
        </w:rPr>
        <w:t>La régularisation</w:t>
      </w:r>
      <w:r>
        <w:rPr>
          <w:color w:val="000000"/>
          <w:lang w:val="fr-FR"/>
        </w:rPr>
        <w:t xml:space="preserve"> d'une offre pourra avoir lieu à condition qu'elle ne soit pas anormalement basse.</w:t>
      </w:r>
    </w:p>
    <w:p w:rsidR="003E7993" w:rsidRDefault="00930774">
      <w:pPr>
        <w:pStyle w:val="ParagrapheIndent2"/>
        <w:spacing w:line="232" w:lineRule="exact"/>
        <w:ind w:left="20" w:right="20"/>
        <w:jc w:val="both"/>
        <w:rPr>
          <w:color w:val="000000"/>
          <w:lang w:val="fr-FR"/>
        </w:rPr>
      </w:pPr>
      <w:r>
        <w:rPr>
          <w:color w:val="000000"/>
          <w:lang w:val="fr-FR"/>
        </w:rPr>
        <w:t>Les critères retenus pour le jugement des offres sont pondérés de la manière suivante :</w:t>
      </w:r>
    </w:p>
    <w:p w:rsidR="003E7993" w:rsidRDefault="003E7993">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7800"/>
        <w:gridCol w:w="1800"/>
      </w:tblGrid>
      <w:tr w:rsidR="003E7993">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3E7993" w:rsidRDefault="00930774">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Pondération</w:t>
            </w:r>
          </w:p>
        </w:tc>
      </w:tr>
      <w:tr w:rsidR="003E7993">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50.0</w:t>
            </w:r>
          </w:p>
        </w:tc>
      </w:tr>
      <w:tr w:rsidR="003E7993">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50.0</w:t>
            </w:r>
          </w:p>
        </w:tc>
      </w:tr>
      <w:tr w:rsidR="003E7993">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2.1-Moyens humains et matériels mis à disposition</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15.0</w:t>
            </w:r>
          </w:p>
        </w:tc>
      </w:tr>
      <w:tr w:rsidR="003E7993">
        <w:trPr>
          <w:trHeight w:val="414"/>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2.2-Méthodologie : organisation et mise en oeuvre d'une procédure d'enlèvement</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20.0</w:t>
            </w:r>
          </w:p>
        </w:tc>
      </w:tr>
      <w:tr w:rsidR="003E7993">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2.3-Conditions d'accès au lieu de gardiennage et horaires d'accueil au  public.</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E7993" w:rsidRDefault="00930774">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15.0</w:t>
            </w:r>
          </w:p>
        </w:tc>
      </w:tr>
    </w:tbl>
    <w:p w:rsidR="003E7993" w:rsidRDefault="00930774">
      <w:pPr>
        <w:spacing w:after="120" w:line="240" w:lineRule="exact"/>
      </w:pPr>
      <w:r>
        <w:t xml:space="preserve"> </w:t>
      </w:r>
    </w:p>
    <w:p w:rsidR="003E7993" w:rsidRDefault="00930774">
      <w:pPr>
        <w:pStyle w:val="ParagrapheIndent2"/>
        <w:spacing w:line="232" w:lineRule="exact"/>
        <w:ind w:left="20" w:right="20"/>
        <w:jc w:val="both"/>
        <w:rPr>
          <w:color w:val="000000"/>
          <w:lang w:val="fr-FR"/>
        </w:rPr>
      </w:pPr>
      <w:r>
        <w:rPr>
          <w:color w:val="000000"/>
          <w:lang w:val="fr-FR"/>
        </w:rPr>
        <w:t xml:space="preserve">Chaque candidat se verra </w:t>
      </w:r>
      <w:r>
        <w:rPr>
          <w:color w:val="000000"/>
          <w:lang w:val="fr-FR"/>
        </w:rPr>
        <w:t>attribuer une note globale sur 100.</w:t>
      </w:r>
    </w:p>
    <w:p w:rsidR="003E7993" w:rsidRDefault="00930774">
      <w:pPr>
        <w:pStyle w:val="ParagrapheIndent2"/>
        <w:spacing w:line="232" w:lineRule="exact"/>
        <w:ind w:left="20" w:right="20"/>
        <w:jc w:val="both"/>
        <w:rPr>
          <w:color w:val="000000"/>
          <w:lang w:val="fr-FR"/>
        </w:rPr>
      </w:pPr>
      <w:r>
        <w:rPr>
          <w:color w:val="000000"/>
          <w:lang w:val="fr-FR"/>
        </w:rPr>
        <w:t>La pondération de chaque critère correspond au nombre de points maximum pouvant être obtenus par le candidat.</w:t>
      </w:r>
    </w:p>
    <w:p w:rsidR="003E7993" w:rsidRDefault="00930774">
      <w:pPr>
        <w:pStyle w:val="ParagrapheIndent2"/>
        <w:spacing w:line="232" w:lineRule="exact"/>
        <w:ind w:left="20" w:right="20"/>
        <w:jc w:val="both"/>
        <w:rPr>
          <w:color w:val="000000"/>
          <w:lang w:val="fr-FR"/>
        </w:rPr>
      </w:pPr>
      <w:r>
        <w:rPr>
          <w:color w:val="000000"/>
          <w:lang w:val="fr-FR"/>
        </w:rPr>
        <w:t>La pondération de chaque sous-critère correspond au nombre de points maximum pouvant être obtenus par le candi</w:t>
      </w:r>
      <w:r>
        <w:rPr>
          <w:color w:val="000000"/>
          <w:lang w:val="fr-FR"/>
        </w:rPr>
        <w:t>dat.</w:t>
      </w:r>
    </w:p>
    <w:p w:rsidR="003E7993" w:rsidRDefault="003E7993">
      <w:pPr>
        <w:pStyle w:val="ParagrapheIndent2"/>
        <w:spacing w:after="240" w:line="232" w:lineRule="exact"/>
        <w:ind w:left="20" w:right="20"/>
        <w:jc w:val="both"/>
        <w:rPr>
          <w:color w:val="000000"/>
          <w:lang w:val="fr-FR"/>
        </w:rPr>
      </w:pPr>
    </w:p>
    <w:p w:rsidR="003E7993" w:rsidRDefault="00930774">
      <w:pPr>
        <w:pStyle w:val="ParagrapheIndent2"/>
        <w:spacing w:after="240" w:line="232" w:lineRule="exact"/>
        <w:ind w:left="20" w:right="20"/>
        <w:jc w:val="both"/>
        <w:rPr>
          <w:color w:val="000000"/>
          <w:lang w:val="fr-FR"/>
        </w:rPr>
      </w:pPr>
      <w:r>
        <w:rPr>
          <w:color w:val="000000"/>
          <w:lang w:val="fr-FR"/>
        </w:rPr>
        <w:t xml:space="preserve">Pour les critères prix, la meilleure offre obtient la note maximale, les autres notes sont calculées au prorata. Le classement final des offres, sera obtenu en faisant la somme des points correspondants à chacun des critères. En cas d'exaequo, c'est </w:t>
      </w:r>
      <w:r>
        <w:rPr>
          <w:color w:val="000000"/>
          <w:lang w:val="fr-FR"/>
        </w:rPr>
        <w:t>le classement au critère le plus important qui départagera les candidats.</w:t>
      </w:r>
    </w:p>
    <w:p w:rsidR="003E7993" w:rsidRDefault="00930774">
      <w:pPr>
        <w:pStyle w:val="ParagrapheIndent2"/>
        <w:spacing w:line="232" w:lineRule="exact"/>
        <w:ind w:left="20" w:right="20"/>
        <w:jc w:val="both"/>
        <w:rPr>
          <w:color w:val="000000"/>
          <w:lang w:val="fr-FR"/>
        </w:rPr>
        <w:sectPr w:rsidR="003E7993">
          <w:footerReference w:type="default" r:id="rId12"/>
          <w:pgSz w:w="11900" w:h="16840"/>
          <w:pgMar w:top="1134" w:right="1134" w:bottom="1126" w:left="1134" w:header="1134" w:footer="1126" w:gutter="0"/>
          <w:cols w:space="708"/>
        </w:sectPr>
      </w:pPr>
      <w:r>
        <w:rPr>
          <w:color w:val="000000"/>
          <w:lang w:val="fr-FR"/>
        </w:rPr>
        <w:t xml:space="preserve">Dans le cas où des erreurs purement matérielles (de multiplication, d'addition ou de report) seraient </w:t>
      </w:r>
      <w:r>
        <w:rPr>
          <w:color w:val="000000"/>
          <w:lang w:val="fr-FR"/>
        </w:rPr>
        <w:t>constatées entre les indications portées sur le bordereau des prix unitaires et le détail quantitatif estimatif, le bordereau des prix prévaudra et le montant du détail quantitatif estimatif sera rectifié en conséquence. L'entreprise sera invitée à confirm</w:t>
      </w:r>
      <w:r>
        <w:rPr>
          <w:color w:val="000000"/>
          <w:lang w:val="fr-FR"/>
        </w:rPr>
        <w:t>er l'offre ainsi rectifiée ; en cas de refus, son offre sera éliminée comme non cohérente.</w:t>
      </w:r>
      <w:r>
        <w:rPr>
          <w:color w:val="000000"/>
          <w:lang w:val="fr-FR"/>
        </w:rPr>
        <w:cr/>
      </w:r>
    </w:p>
    <w:p w:rsidR="003E7993" w:rsidRDefault="003E7993">
      <w:pPr>
        <w:spacing w:line="20" w:lineRule="exact"/>
        <w:rPr>
          <w:sz w:val="2"/>
        </w:rPr>
      </w:pPr>
    </w:p>
    <w:p w:rsidR="003E7993" w:rsidRDefault="00930774">
      <w:pPr>
        <w:pStyle w:val="Titre2"/>
        <w:ind w:left="300" w:right="20"/>
        <w:rPr>
          <w:rFonts w:ascii="Trebuchet MS" w:eastAsia="Trebuchet MS" w:hAnsi="Trebuchet MS" w:cs="Trebuchet MS"/>
          <w:i w:val="0"/>
          <w:color w:val="000000"/>
          <w:sz w:val="24"/>
          <w:lang w:val="fr-FR"/>
        </w:rPr>
      </w:pPr>
      <w:bookmarkStart w:id="23" w:name="_Toc256000022"/>
      <w:r>
        <w:rPr>
          <w:rFonts w:ascii="Trebuchet MS" w:eastAsia="Trebuchet MS" w:hAnsi="Trebuchet MS" w:cs="Trebuchet MS"/>
          <w:i w:val="0"/>
          <w:color w:val="000000"/>
          <w:sz w:val="24"/>
          <w:lang w:val="fr-FR"/>
        </w:rPr>
        <w:t>7.3 - Suite à donner à la consultation</w:t>
      </w:r>
      <w:bookmarkEnd w:id="23"/>
    </w:p>
    <w:p w:rsidR="003E7993" w:rsidRDefault="00930774">
      <w:pPr>
        <w:pStyle w:val="ParagrapheIndent2"/>
        <w:spacing w:line="232" w:lineRule="exact"/>
        <w:ind w:left="20" w:right="20"/>
        <w:jc w:val="both"/>
        <w:rPr>
          <w:color w:val="000000"/>
          <w:lang w:val="fr-FR"/>
        </w:rPr>
      </w:pPr>
      <w:r>
        <w:rPr>
          <w:color w:val="000000"/>
          <w:lang w:val="fr-FR"/>
        </w:rPr>
        <w:t xml:space="preserve">Après examen des offres, le pouvoir adjudicateur engagera des négociations avec tous les candidats sélectionnés. Toutefois, </w:t>
      </w:r>
      <w:r>
        <w:rPr>
          <w:color w:val="000000"/>
          <w:lang w:val="fr-FR"/>
        </w:rPr>
        <w:t>le pouvoir adjudicateur se réserve la possibilité d'attribuer l'accord-cadre sur la base des offres initiales, sans négociation.</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after="240" w:line="232" w:lineRule="exact"/>
        <w:ind w:left="20" w:right="20"/>
        <w:jc w:val="both"/>
        <w:rPr>
          <w:color w:val="000000"/>
          <w:lang w:val="fr-FR"/>
        </w:rPr>
      </w:pPr>
      <w:r>
        <w:rPr>
          <w:color w:val="000000"/>
          <w:lang w:val="fr-FR"/>
        </w:rPr>
        <w:t>La négociation portera sur l'ensemble des éléments du dossier de consultation.</w:t>
      </w:r>
    </w:p>
    <w:p w:rsidR="003E7993" w:rsidRDefault="00930774">
      <w:pPr>
        <w:pStyle w:val="ParagrapheIndent2"/>
        <w:spacing w:after="240" w:line="232" w:lineRule="exact"/>
        <w:ind w:left="20" w:right="20"/>
        <w:jc w:val="both"/>
        <w:rPr>
          <w:color w:val="000000"/>
          <w:lang w:val="fr-FR"/>
        </w:rPr>
      </w:pPr>
      <w:r>
        <w:rPr>
          <w:color w:val="000000"/>
          <w:lang w:val="fr-FR"/>
        </w:rPr>
        <w:t xml:space="preserve">L'offre la mieux classée sera donc retenue à </w:t>
      </w:r>
      <w:r>
        <w:rPr>
          <w:color w:val="000000"/>
          <w:lang w:val="fr-FR"/>
        </w:rPr>
        <w:t>titre provisoire en attendant que le ou les candidats produisent les certificats et attestations des articles R. 2143-6 à R. 2143-10 du Code de la commande publique. Le délai imparti par le pouvoir adjudicateur pour remettre ces documents ne pourra être su</w:t>
      </w:r>
      <w:r>
        <w:rPr>
          <w:color w:val="000000"/>
          <w:lang w:val="fr-FR"/>
        </w:rPr>
        <w:t>périeur à 10 jours.</w:t>
      </w:r>
    </w:p>
    <w:p w:rsidR="003E7993" w:rsidRDefault="00930774">
      <w:pPr>
        <w:pStyle w:val="Titre1"/>
        <w:rPr>
          <w:rFonts w:ascii="Trebuchet MS" w:eastAsia="Trebuchet MS" w:hAnsi="Trebuchet MS" w:cs="Trebuchet MS"/>
          <w:color w:val="000000"/>
          <w:sz w:val="28"/>
          <w:lang w:val="fr-FR"/>
        </w:rPr>
      </w:pPr>
      <w:bookmarkStart w:id="24" w:name="_Toc256000023"/>
      <w:r>
        <w:rPr>
          <w:rFonts w:ascii="Trebuchet MS" w:eastAsia="Trebuchet MS" w:hAnsi="Trebuchet MS" w:cs="Trebuchet MS"/>
          <w:color w:val="000000"/>
          <w:sz w:val="28"/>
          <w:lang w:val="fr-FR"/>
        </w:rPr>
        <w:t>8 - Renseignements complémentaires</w:t>
      </w:r>
      <w:bookmarkEnd w:id="24"/>
    </w:p>
    <w:p w:rsidR="003E7993" w:rsidRDefault="00930774">
      <w:pPr>
        <w:pStyle w:val="Titre2"/>
        <w:ind w:left="300" w:right="20"/>
        <w:rPr>
          <w:rFonts w:ascii="Trebuchet MS" w:eastAsia="Trebuchet MS" w:hAnsi="Trebuchet MS" w:cs="Trebuchet MS"/>
          <w:i w:val="0"/>
          <w:color w:val="000000"/>
          <w:sz w:val="24"/>
          <w:lang w:val="fr-FR"/>
        </w:rPr>
      </w:pPr>
      <w:bookmarkStart w:id="25" w:name="_Toc256000024"/>
      <w:r>
        <w:rPr>
          <w:rFonts w:ascii="Trebuchet MS" w:eastAsia="Trebuchet MS" w:hAnsi="Trebuchet MS" w:cs="Trebuchet MS"/>
          <w:i w:val="0"/>
          <w:color w:val="000000"/>
          <w:sz w:val="24"/>
          <w:lang w:val="fr-FR"/>
        </w:rPr>
        <w:t>8.1 - Adresses supplémentaires et points de contact</w:t>
      </w:r>
      <w:bookmarkEnd w:id="25"/>
    </w:p>
    <w:p w:rsidR="003E7993" w:rsidRDefault="00930774">
      <w:pPr>
        <w:pStyle w:val="ParagrapheIndent2"/>
        <w:spacing w:line="232" w:lineRule="exact"/>
        <w:ind w:left="20" w:right="20"/>
        <w:jc w:val="both"/>
        <w:rPr>
          <w:color w:val="000000"/>
          <w:lang w:val="fr-FR"/>
        </w:rPr>
      </w:pPr>
      <w:r>
        <w:rPr>
          <w:color w:val="000000"/>
          <w:lang w:val="fr-FR"/>
        </w:rPr>
        <w:t>Pour tout renseignement complémentaire concernant cette consultation, les candidats transmettent impérativement leur demande par l'intermédiaire du p</w:t>
      </w:r>
      <w:r>
        <w:rPr>
          <w:color w:val="000000"/>
          <w:lang w:val="fr-FR"/>
        </w:rPr>
        <w:t>rofil d'acheteur du pouvoir adjudicateur, dont l'adresse URL est la suivante : http://agysoft.marches-publics.info</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after="240" w:line="232" w:lineRule="exact"/>
        <w:ind w:left="20" w:right="20"/>
        <w:jc w:val="both"/>
        <w:rPr>
          <w:color w:val="000000"/>
          <w:lang w:val="fr-FR"/>
        </w:rPr>
      </w:pPr>
      <w:r>
        <w:rPr>
          <w:color w:val="000000"/>
          <w:lang w:val="fr-FR"/>
        </w:rPr>
        <w:t>Cette demande doit intervenir au plus tard 10 jours avant la date limite de réception des offres.</w:t>
      </w:r>
    </w:p>
    <w:p w:rsidR="003E7993" w:rsidRDefault="00930774">
      <w:pPr>
        <w:pStyle w:val="ParagrapheIndent2"/>
        <w:spacing w:after="240" w:line="232" w:lineRule="exact"/>
        <w:ind w:left="20" w:right="20"/>
        <w:jc w:val="both"/>
        <w:rPr>
          <w:color w:val="000000"/>
          <w:lang w:val="fr-FR"/>
        </w:rPr>
      </w:pPr>
      <w:r>
        <w:rPr>
          <w:color w:val="000000"/>
          <w:lang w:val="fr-FR"/>
        </w:rPr>
        <w:t xml:space="preserve">Une réponse sera alors adressée, à toutes </w:t>
      </w:r>
      <w:r>
        <w:rPr>
          <w:color w:val="000000"/>
          <w:lang w:val="fr-FR"/>
        </w:rPr>
        <w:t>les entreprises ayant retiré le dossier ou l'ayant téléchargé après identification, 6 jours au plus tard avant la date limite de réception des offres.</w:t>
      </w:r>
    </w:p>
    <w:p w:rsidR="003E7993" w:rsidRDefault="00930774">
      <w:pPr>
        <w:pStyle w:val="ParagrapheIndent2"/>
        <w:spacing w:after="240" w:line="232" w:lineRule="exact"/>
        <w:ind w:left="20" w:right="20"/>
        <w:jc w:val="both"/>
        <w:rPr>
          <w:color w:val="000000"/>
          <w:lang w:val="fr-FR"/>
        </w:rPr>
      </w:pPr>
      <w:r>
        <w:rPr>
          <w:color w:val="000000"/>
          <w:lang w:val="fr-FR"/>
        </w:rPr>
        <w:t>Les documents de la consultation sont communiqués aux candidats dans les 6 jours qui suivent la réception</w:t>
      </w:r>
      <w:r>
        <w:rPr>
          <w:color w:val="000000"/>
          <w:lang w:val="fr-FR"/>
        </w:rPr>
        <w:t xml:space="preserve"> de leur demande.</w:t>
      </w:r>
    </w:p>
    <w:p w:rsidR="003E7993" w:rsidRDefault="00930774">
      <w:pPr>
        <w:pStyle w:val="Titre2"/>
        <w:ind w:left="300" w:right="20"/>
        <w:rPr>
          <w:rFonts w:ascii="Trebuchet MS" w:eastAsia="Trebuchet MS" w:hAnsi="Trebuchet MS" w:cs="Trebuchet MS"/>
          <w:i w:val="0"/>
          <w:color w:val="000000"/>
          <w:sz w:val="24"/>
          <w:lang w:val="fr-FR"/>
        </w:rPr>
      </w:pPr>
      <w:bookmarkStart w:id="26" w:name="_Toc256000025"/>
      <w:r>
        <w:rPr>
          <w:rFonts w:ascii="Trebuchet MS" w:eastAsia="Trebuchet MS" w:hAnsi="Trebuchet MS" w:cs="Trebuchet MS"/>
          <w:i w:val="0"/>
          <w:color w:val="000000"/>
          <w:sz w:val="24"/>
          <w:lang w:val="fr-FR"/>
        </w:rPr>
        <w:t>8.2 - Procédures de recours</w:t>
      </w:r>
      <w:bookmarkEnd w:id="26"/>
    </w:p>
    <w:p w:rsidR="003E7993" w:rsidRDefault="00930774">
      <w:pPr>
        <w:pStyle w:val="ParagrapheIndent2"/>
        <w:spacing w:line="232" w:lineRule="exact"/>
        <w:ind w:left="20" w:right="20"/>
        <w:jc w:val="both"/>
        <w:rPr>
          <w:color w:val="000000"/>
          <w:lang w:val="fr-FR"/>
        </w:rPr>
      </w:pPr>
      <w:r>
        <w:rPr>
          <w:color w:val="000000"/>
          <w:lang w:val="fr-FR"/>
        </w:rPr>
        <w:t>Le tribunal territorialement compétent est :</w:t>
      </w:r>
    </w:p>
    <w:p w:rsidR="003E7993" w:rsidRDefault="00930774">
      <w:pPr>
        <w:pStyle w:val="ParagrapheIndent2"/>
        <w:spacing w:line="232" w:lineRule="exact"/>
        <w:ind w:left="20" w:right="20"/>
        <w:jc w:val="both"/>
        <w:rPr>
          <w:color w:val="000000"/>
          <w:lang w:val="fr-FR"/>
        </w:rPr>
      </w:pPr>
      <w:r>
        <w:rPr>
          <w:color w:val="000000"/>
          <w:lang w:val="fr-FR"/>
        </w:rPr>
        <w:t>Tribunal administratif de Marseille</w:t>
      </w:r>
    </w:p>
    <w:p w:rsidR="003E7993" w:rsidRDefault="00930774">
      <w:pPr>
        <w:pStyle w:val="ParagrapheIndent2"/>
        <w:spacing w:line="232" w:lineRule="exact"/>
        <w:ind w:left="20" w:right="20"/>
        <w:jc w:val="both"/>
        <w:rPr>
          <w:color w:val="000000"/>
          <w:lang w:val="fr-FR"/>
        </w:rPr>
      </w:pPr>
      <w:r>
        <w:rPr>
          <w:color w:val="000000"/>
          <w:lang w:val="fr-FR"/>
        </w:rPr>
        <w:t>22 rue Breteuil</w:t>
      </w:r>
    </w:p>
    <w:p w:rsidR="003E7993" w:rsidRDefault="00930774">
      <w:pPr>
        <w:pStyle w:val="ParagrapheIndent2"/>
        <w:spacing w:line="232" w:lineRule="exact"/>
        <w:ind w:left="20" w:right="20"/>
        <w:jc w:val="both"/>
        <w:rPr>
          <w:color w:val="000000"/>
          <w:lang w:val="fr-FR"/>
        </w:rPr>
      </w:pPr>
      <w:r>
        <w:rPr>
          <w:color w:val="000000"/>
          <w:lang w:val="fr-FR"/>
        </w:rPr>
        <w:t>13281 MARSEILLE CEDEX 06</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Tél : 04 91 13 48 13</w:t>
      </w:r>
    </w:p>
    <w:p w:rsidR="003E7993" w:rsidRDefault="00930774">
      <w:pPr>
        <w:pStyle w:val="ParagrapheIndent2"/>
        <w:spacing w:line="232" w:lineRule="exact"/>
        <w:ind w:left="20" w:right="20"/>
        <w:jc w:val="both"/>
        <w:rPr>
          <w:color w:val="000000"/>
          <w:lang w:val="fr-FR"/>
        </w:rPr>
      </w:pPr>
      <w:r>
        <w:rPr>
          <w:color w:val="000000"/>
          <w:lang w:val="fr-FR"/>
        </w:rPr>
        <w:t>Télécopie : 04 91 81 13 87</w:t>
      </w:r>
    </w:p>
    <w:p w:rsidR="003E7993" w:rsidRDefault="00930774">
      <w:pPr>
        <w:pStyle w:val="ParagrapheIndent2"/>
        <w:spacing w:line="232" w:lineRule="exact"/>
        <w:ind w:left="20" w:right="20"/>
        <w:jc w:val="both"/>
        <w:rPr>
          <w:color w:val="000000"/>
          <w:lang w:val="fr-FR"/>
        </w:rPr>
      </w:pPr>
      <w:r>
        <w:rPr>
          <w:color w:val="000000"/>
          <w:lang w:val="fr-FR"/>
        </w:rPr>
        <w:t>Courriel : greffe.ta-marseille@juradm.f</w:t>
      </w:r>
      <w:r>
        <w:rPr>
          <w:color w:val="000000"/>
          <w:lang w:val="fr-FR"/>
        </w:rPr>
        <w:t>r</w:t>
      </w:r>
    </w:p>
    <w:p w:rsidR="003E7993" w:rsidRDefault="003E7993">
      <w:pPr>
        <w:pStyle w:val="ParagrapheIndent2"/>
        <w:spacing w:after="240"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Pour obtenir des renseignements relatifs à l'introduction des recours, les candidats devront s'adresser à :</w:t>
      </w:r>
    </w:p>
    <w:p w:rsidR="003E7993" w:rsidRDefault="00930774">
      <w:pPr>
        <w:pStyle w:val="ParagrapheIndent2"/>
        <w:spacing w:line="232" w:lineRule="exact"/>
        <w:ind w:left="20" w:right="20"/>
        <w:jc w:val="both"/>
        <w:rPr>
          <w:color w:val="000000"/>
          <w:lang w:val="fr-FR"/>
        </w:rPr>
      </w:pPr>
      <w:r>
        <w:rPr>
          <w:color w:val="000000"/>
          <w:lang w:val="fr-FR"/>
        </w:rPr>
        <w:t>Tribunal administratif de Marseille</w:t>
      </w:r>
    </w:p>
    <w:p w:rsidR="003E7993" w:rsidRDefault="00930774">
      <w:pPr>
        <w:pStyle w:val="ParagrapheIndent2"/>
        <w:spacing w:line="232" w:lineRule="exact"/>
        <w:ind w:left="20" w:right="20"/>
        <w:jc w:val="both"/>
        <w:rPr>
          <w:color w:val="000000"/>
          <w:lang w:val="fr-FR"/>
        </w:rPr>
      </w:pPr>
      <w:r>
        <w:rPr>
          <w:color w:val="000000"/>
          <w:lang w:val="fr-FR"/>
        </w:rPr>
        <w:t>22 rue Breteuil</w:t>
      </w:r>
    </w:p>
    <w:p w:rsidR="003E7993" w:rsidRDefault="00930774">
      <w:pPr>
        <w:pStyle w:val="ParagrapheIndent2"/>
        <w:spacing w:line="232" w:lineRule="exact"/>
        <w:ind w:left="20" w:right="20"/>
        <w:jc w:val="both"/>
        <w:rPr>
          <w:color w:val="000000"/>
          <w:lang w:val="fr-FR"/>
        </w:rPr>
      </w:pPr>
      <w:r>
        <w:rPr>
          <w:color w:val="000000"/>
          <w:lang w:val="fr-FR"/>
        </w:rPr>
        <w:t>13281 MARSEILLE CEDEX 06</w:t>
      </w:r>
    </w:p>
    <w:p w:rsidR="003E7993" w:rsidRDefault="003E7993">
      <w:pPr>
        <w:pStyle w:val="ParagrapheIndent2"/>
        <w:spacing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Tél : 04 91 13 48 13</w:t>
      </w:r>
    </w:p>
    <w:p w:rsidR="003E7993" w:rsidRDefault="00930774">
      <w:pPr>
        <w:pStyle w:val="ParagrapheIndent2"/>
        <w:spacing w:line="232" w:lineRule="exact"/>
        <w:ind w:left="20" w:right="20"/>
        <w:jc w:val="both"/>
        <w:rPr>
          <w:color w:val="000000"/>
          <w:lang w:val="fr-FR"/>
        </w:rPr>
      </w:pPr>
      <w:r>
        <w:rPr>
          <w:color w:val="000000"/>
          <w:lang w:val="fr-FR"/>
        </w:rPr>
        <w:t>Télécopie : 04 91 81 13 87</w:t>
      </w:r>
    </w:p>
    <w:p w:rsidR="003E7993" w:rsidRDefault="00930774">
      <w:pPr>
        <w:pStyle w:val="ParagrapheIndent2"/>
        <w:spacing w:line="232" w:lineRule="exact"/>
        <w:ind w:left="20" w:right="20"/>
        <w:jc w:val="both"/>
        <w:rPr>
          <w:color w:val="000000"/>
          <w:lang w:val="fr-FR"/>
        </w:rPr>
      </w:pPr>
      <w:r>
        <w:rPr>
          <w:color w:val="000000"/>
          <w:lang w:val="fr-FR"/>
        </w:rPr>
        <w:t xml:space="preserve">Courriel : </w:t>
      </w:r>
      <w:r>
        <w:rPr>
          <w:color w:val="000000"/>
          <w:lang w:val="fr-FR"/>
        </w:rPr>
        <w:t>greffe.ta-marseille@juradm.fr</w:t>
      </w:r>
    </w:p>
    <w:p w:rsidR="003E7993" w:rsidRDefault="003E7993">
      <w:pPr>
        <w:pStyle w:val="ParagrapheIndent2"/>
        <w:spacing w:after="240" w:line="232" w:lineRule="exact"/>
        <w:ind w:left="20" w:right="20"/>
        <w:jc w:val="both"/>
        <w:rPr>
          <w:color w:val="000000"/>
          <w:lang w:val="fr-FR"/>
        </w:rPr>
      </w:pPr>
    </w:p>
    <w:p w:rsidR="003E7993" w:rsidRDefault="00930774">
      <w:pPr>
        <w:pStyle w:val="ParagrapheIndent2"/>
        <w:spacing w:line="232" w:lineRule="exact"/>
        <w:ind w:left="20" w:right="20"/>
        <w:jc w:val="both"/>
        <w:rPr>
          <w:color w:val="000000"/>
          <w:lang w:val="fr-FR"/>
        </w:rPr>
      </w:pPr>
      <w:r>
        <w:rPr>
          <w:color w:val="000000"/>
          <w:lang w:val="fr-FR"/>
        </w:rPr>
        <w:t>En cas de difficultés survenant lors de la procédure de passation, l'organe chargé de jouer le rôle de médiateur est :</w:t>
      </w:r>
    </w:p>
    <w:p w:rsidR="003E7993" w:rsidRDefault="00930774">
      <w:pPr>
        <w:pStyle w:val="ParagrapheIndent2"/>
        <w:spacing w:line="232" w:lineRule="exact"/>
        <w:ind w:left="20" w:right="20"/>
        <w:jc w:val="both"/>
        <w:rPr>
          <w:color w:val="000000"/>
          <w:lang w:val="fr-FR"/>
        </w:rPr>
      </w:pPr>
      <w:r>
        <w:rPr>
          <w:color w:val="000000"/>
          <w:lang w:val="fr-FR"/>
        </w:rPr>
        <w:t>Comité Consultatif Interrégional de Règlement Amiable des Différends et Litiges en matière de marchés publ</w:t>
      </w:r>
      <w:r>
        <w:rPr>
          <w:color w:val="000000"/>
          <w:lang w:val="fr-FR"/>
        </w:rPr>
        <w:t>ics de Marseille</w:t>
      </w:r>
    </w:p>
    <w:p w:rsidR="003E7993" w:rsidRDefault="00930774">
      <w:pPr>
        <w:pStyle w:val="ParagrapheIndent2"/>
        <w:spacing w:line="232" w:lineRule="exact"/>
        <w:ind w:left="20" w:right="20"/>
        <w:jc w:val="both"/>
        <w:rPr>
          <w:color w:val="000000"/>
          <w:lang w:val="fr-FR"/>
        </w:rPr>
      </w:pPr>
      <w:r>
        <w:rPr>
          <w:color w:val="000000"/>
          <w:lang w:val="fr-FR"/>
        </w:rPr>
        <w:t>Préfecture de Région PACA</w:t>
      </w:r>
    </w:p>
    <w:p w:rsidR="003E7993" w:rsidRDefault="00930774">
      <w:pPr>
        <w:pStyle w:val="ParagrapheIndent2"/>
        <w:spacing w:line="232" w:lineRule="exact"/>
        <w:ind w:left="20" w:right="20"/>
        <w:jc w:val="both"/>
        <w:rPr>
          <w:color w:val="000000"/>
          <w:lang w:val="fr-FR"/>
        </w:rPr>
      </w:pPr>
      <w:r>
        <w:rPr>
          <w:color w:val="000000"/>
          <w:lang w:val="fr-FR"/>
        </w:rPr>
        <w:t>13282 MARSEILLE CEDEX 20</w:t>
      </w:r>
    </w:p>
    <w:sectPr w:rsidR="003E7993">
      <w:footerReference w:type="default" r:id="rId13"/>
      <w:pgSz w:w="11900" w:h="16840"/>
      <w:pgMar w:top="1134" w:right="1134" w:bottom="1126" w:left="1134" w:header="1134" w:footer="1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0774">
      <w:r>
        <w:separator/>
      </w:r>
    </w:p>
  </w:endnote>
  <w:endnote w:type="continuationSeparator" w:id="0">
    <w:p w:rsidR="00000000" w:rsidRDefault="0093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93" w:rsidRDefault="003E7993">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7993">
      <w:trPr>
        <w:trHeight w:val="260"/>
      </w:trPr>
      <w:tc>
        <w:tcPr>
          <w:tcW w:w="5220" w:type="dxa"/>
          <w:tcMar>
            <w:top w:w="0" w:type="dxa"/>
            <w:left w:w="0" w:type="dxa"/>
            <w:bottom w:w="0" w:type="dxa"/>
            <w:right w:w="0" w:type="dxa"/>
          </w:tcMar>
          <w:vAlign w:val="center"/>
        </w:tcPr>
        <w:p w:rsidR="003E7993" w:rsidRDefault="00930774">
          <w:pPr>
            <w:pStyle w:val="PiedDePage"/>
            <w:rPr>
              <w:color w:val="000000"/>
              <w:lang w:val="fr-FR"/>
            </w:rPr>
          </w:pPr>
          <w:r>
            <w:rPr>
              <w:color w:val="000000"/>
              <w:lang w:val="fr-FR"/>
            </w:rPr>
            <w:t>Consultation n°: 20036</w:t>
          </w:r>
        </w:p>
      </w:tc>
      <w:tc>
        <w:tcPr>
          <w:tcW w:w="4400" w:type="dxa"/>
          <w:tcMar>
            <w:top w:w="0" w:type="dxa"/>
            <w:left w:w="0" w:type="dxa"/>
            <w:bottom w:w="0" w:type="dxa"/>
            <w:right w:w="0" w:type="dxa"/>
          </w:tcMar>
          <w:vAlign w:val="center"/>
        </w:tcPr>
        <w:p w:rsidR="003E7993" w:rsidRDefault="00930774">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3</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9</w:t>
          </w:r>
          <w:r>
            <w:rPr>
              <w:color w:val="000000"/>
              <w:lang w:val="fr-FR"/>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93" w:rsidRDefault="003E7993">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7993">
      <w:trPr>
        <w:trHeight w:val="260"/>
      </w:trPr>
      <w:tc>
        <w:tcPr>
          <w:tcW w:w="5220" w:type="dxa"/>
          <w:tcMar>
            <w:top w:w="0" w:type="dxa"/>
            <w:left w:w="0" w:type="dxa"/>
            <w:bottom w:w="0" w:type="dxa"/>
            <w:right w:w="0" w:type="dxa"/>
          </w:tcMar>
          <w:vAlign w:val="center"/>
        </w:tcPr>
        <w:p w:rsidR="003E7993" w:rsidRDefault="00930774">
          <w:pPr>
            <w:pStyle w:val="PiedDePage"/>
            <w:rPr>
              <w:color w:val="000000"/>
              <w:lang w:val="fr-FR"/>
            </w:rPr>
          </w:pPr>
          <w:r>
            <w:rPr>
              <w:color w:val="000000"/>
              <w:lang w:val="fr-FR"/>
            </w:rPr>
            <w:t>Consultation n°: 20036</w:t>
          </w:r>
        </w:p>
      </w:tc>
      <w:tc>
        <w:tcPr>
          <w:tcW w:w="4400" w:type="dxa"/>
          <w:tcMar>
            <w:top w:w="0" w:type="dxa"/>
            <w:left w:w="0" w:type="dxa"/>
            <w:bottom w:w="0" w:type="dxa"/>
            <w:right w:w="0" w:type="dxa"/>
          </w:tcMar>
          <w:vAlign w:val="center"/>
        </w:tcPr>
        <w:p w:rsidR="003E7993" w:rsidRDefault="00930774">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4</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9</w:t>
          </w:r>
          <w:r>
            <w:rPr>
              <w:color w:val="000000"/>
              <w:lang w:val="fr-FR"/>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93" w:rsidRDefault="003E7993">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7993">
      <w:trPr>
        <w:trHeight w:val="260"/>
      </w:trPr>
      <w:tc>
        <w:tcPr>
          <w:tcW w:w="5220" w:type="dxa"/>
          <w:tcMar>
            <w:top w:w="0" w:type="dxa"/>
            <w:left w:w="0" w:type="dxa"/>
            <w:bottom w:w="0" w:type="dxa"/>
            <w:right w:w="0" w:type="dxa"/>
          </w:tcMar>
          <w:vAlign w:val="center"/>
        </w:tcPr>
        <w:p w:rsidR="003E7993" w:rsidRDefault="00930774">
          <w:pPr>
            <w:pStyle w:val="PiedDePage"/>
            <w:rPr>
              <w:color w:val="000000"/>
              <w:lang w:val="fr-FR"/>
            </w:rPr>
          </w:pPr>
          <w:r>
            <w:rPr>
              <w:color w:val="000000"/>
              <w:lang w:val="fr-FR"/>
            </w:rPr>
            <w:t>Consultation n°: 20036</w:t>
          </w:r>
        </w:p>
      </w:tc>
      <w:tc>
        <w:tcPr>
          <w:tcW w:w="4400" w:type="dxa"/>
          <w:tcMar>
            <w:top w:w="0" w:type="dxa"/>
            <w:left w:w="0" w:type="dxa"/>
            <w:bottom w:w="0" w:type="dxa"/>
            <w:right w:w="0" w:type="dxa"/>
          </w:tcMar>
          <w:vAlign w:val="center"/>
        </w:tcPr>
        <w:p w:rsidR="003E7993" w:rsidRDefault="00930774">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5</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9</w:t>
          </w:r>
          <w:r>
            <w:rPr>
              <w:color w:val="000000"/>
              <w:lang w:val="fr-FR"/>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93" w:rsidRDefault="003E7993">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7993">
      <w:trPr>
        <w:trHeight w:val="260"/>
      </w:trPr>
      <w:tc>
        <w:tcPr>
          <w:tcW w:w="5220" w:type="dxa"/>
          <w:tcMar>
            <w:top w:w="0" w:type="dxa"/>
            <w:left w:w="0" w:type="dxa"/>
            <w:bottom w:w="0" w:type="dxa"/>
            <w:right w:w="0" w:type="dxa"/>
          </w:tcMar>
          <w:vAlign w:val="center"/>
        </w:tcPr>
        <w:p w:rsidR="003E7993" w:rsidRDefault="00930774">
          <w:pPr>
            <w:pStyle w:val="PiedDePage"/>
            <w:rPr>
              <w:color w:val="000000"/>
              <w:lang w:val="fr-FR"/>
            </w:rPr>
          </w:pPr>
          <w:r>
            <w:rPr>
              <w:color w:val="000000"/>
              <w:lang w:val="fr-FR"/>
            </w:rPr>
            <w:t>Consultation n°: 20036</w:t>
          </w:r>
        </w:p>
      </w:tc>
      <w:tc>
        <w:tcPr>
          <w:tcW w:w="4400" w:type="dxa"/>
          <w:tcMar>
            <w:top w:w="0" w:type="dxa"/>
            <w:left w:w="0" w:type="dxa"/>
            <w:bottom w:w="0" w:type="dxa"/>
            <w:right w:w="0" w:type="dxa"/>
          </w:tcMar>
          <w:vAlign w:val="center"/>
        </w:tcPr>
        <w:p w:rsidR="003E7993" w:rsidRDefault="00930774">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6</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9</w:t>
          </w:r>
          <w:r>
            <w:rPr>
              <w:color w:val="000000"/>
              <w:lang w:val="fr-FR"/>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93" w:rsidRDefault="003E7993">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7993">
      <w:trPr>
        <w:trHeight w:val="260"/>
      </w:trPr>
      <w:tc>
        <w:tcPr>
          <w:tcW w:w="5220" w:type="dxa"/>
          <w:tcMar>
            <w:top w:w="0" w:type="dxa"/>
            <w:left w:w="0" w:type="dxa"/>
            <w:bottom w:w="0" w:type="dxa"/>
            <w:right w:w="0" w:type="dxa"/>
          </w:tcMar>
          <w:vAlign w:val="center"/>
        </w:tcPr>
        <w:p w:rsidR="003E7993" w:rsidRDefault="00930774">
          <w:pPr>
            <w:pStyle w:val="PiedDePage"/>
            <w:rPr>
              <w:color w:val="000000"/>
              <w:lang w:val="fr-FR"/>
            </w:rPr>
          </w:pPr>
          <w:r>
            <w:rPr>
              <w:color w:val="000000"/>
              <w:lang w:val="fr-FR"/>
            </w:rPr>
            <w:t>Consultation n°: 20036</w:t>
          </w:r>
        </w:p>
      </w:tc>
      <w:tc>
        <w:tcPr>
          <w:tcW w:w="4400" w:type="dxa"/>
          <w:tcMar>
            <w:top w:w="0" w:type="dxa"/>
            <w:left w:w="0" w:type="dxa"/>
            <w:bottom w:w="0" w:type="dxa"/>
            <w:right w:w="0" w:type="dxa"/>
          </w:tcMar>
          <w:vAlign w:val="center"/>
        </w:tcPr>
        <w:p w:rsidR="003E7993" w:rsidRDefault="00930774">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7</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9</w:t>
          </w:r>
          <w:r>
            <w:rPr>
              <w:color w:val="000000"/>
              <w:lang w:val="fr-FR"/>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93" w:rsidRDefault="003E7993">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7993">
      <w:trPr>
        <w:trHeight w:val="260"/>
      </w:trPr>
      <w:tc>
        <w:tcPr>
          <w:tcW w:w="5220" w:type="dxa"/>
          <w:tcMar>
            <w:top w:w="0" w:type="dxa"/>
            <w:left w:w="0" w:type="dxa"/>
            <w:bottom w:w="0" w:type="dxa"/>
            <w:right w:w="0" w:type="dxa"/>
          </w:tcMar>
          <w:vAlign w:val="center"/>
        </w:tcPr>
        <w:p w:rsidR="003E7993" w:rsidRDefault="00930774">
          <w:pPr>
            <w:pStyle w:val="PiedDePage"/>
            <w:rPr>
              <w:color w:val="000000"/>
              <w:lang w:val="fr-FR"/>
            </w:rPr>
          </w:pPr>
          <w:r>
            <w:rPr>
              <w:color w:val="000000"/>
              <w:lang w:val="fr-FR"/>
            </w:rPr>
            <w:t>Consultation n°: 20036</w:t>
          </w:r>
        </w:p>
      </w:tc>
      <w:tc>
        <w:tcPr>
          <w:tcW w:w="4400" w:type="dxa"/>
          <w:tcMar>
            <w:top w:w="0" w:type="dxa"/>
            <w:left w:w="0" w:type="dxa"/>
            <w:bottom w:w="0" w:type="dxa"/>
            <w:right w:w="0" w:type="dxa"/>
          </w:tcMar>
          <w:vAlign w:val="center"/>
        </w:tcPr>
        <w:p w:rsidR="003E7993" w:rsidRDefault="00930774">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8</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9</w:t>
          </w:r>
          <w:r>
            <w:rPr>
              <w:color w:val="000000"/>
              <w:lang w:val="fr-FR"/>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93" w:rsidRDefault="003E7993">
    <w:pPr>
      <w:spacing w:line="240" w:lineRule="exact"/>
    </w:pPr>
  </w:p>
  <w:tbl>
    <w:tblPr>
      <w:tblW w:w="0" w:type="auto"/>
      <w:tblInd w:w="20" w:type="dxa"/>
      <w:tblLayout w:type="fixed"/>
      <w:tblLook w:val="04A0" w:firstRow="1" w:lastRow="0" w:firstColumn="1" w:lastColumn="0" w:noHBand="0" w:noVBand="1"/>
    </w:tblPr>
    <w:tblGrid>
      <w:gridCol w:w="5220"/>
      <w:gridCol w:w="4400"/>
    </w:tblGrid>
    <w:tr w:rsidR="003E7993">
      <w:trPr>
        <w:trHeight w:val="260"/>
      </w:trPr>
      <w:tc>
        <w:tcPr>
          <w:tcW w:w="5220" w:type="dxa"/>
          <w:tcMar>
            <w:top w:w="0" w:type="dxa"/>
            <w:left w:w="0" w:type="dxa"/>
            <w:bottom w:w="0" w:type="dxa"/>
            <w:right w:w="0" w:type="dxa"/>
          </w:tcMar>
          <w:vAlign w:val="center"/>
        </w:tcPr>
        <w:p w:rsidR="003E7993" w:rsidRDefault="00930774">
          <w:pPr>
            <w:pStyle w:val="PiedDePage"/>
            <w:rPr>
              <w:color w:val="000000"/>
              <w:lang w:val="fr-FR"/>
            </w:rPr>
          </w:pPr>
          <w:r>
            <w:rPr>
              <w:color w:val="000000"/>
              <w:lang w:val="fr-FR"/>
            </w:rPr>
            <w:t>Consultation n°: 20036</w:t>
          </w:r>
        </w:p>
      </w:tc>
      <w:tc>
        <w:tcPr>
          <w:tcW w:w="4400" w:type="dxa"/>
          <w:tcMar>
            <w:top w:w="0" w:type="dxa"/>
            <w:left w:w="0" w:type="dxa"/>
            <w:bottom w:w="0" w:type="dxa"/>
            <w:right w:w="0" w:type="dxa"/>
          </w:tcMar>
          <w:vAlign w:val="center"/>
        </w:tcPr>
        <w:p w:rsidR="003E7993" w:rsidRDefault="00930774">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9</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9</w:t>
          </w:r>
          <w:r>
            <w:rPr>
              <w:color w:val="000000"/>
              <w:lang w:val="fr-FR"/>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0774">
      <w:r>
        <w:separator/>
      </w:r>
    </w:p>
  </w:footnote>
  <w:footnote w:type="continuationSeparator" w:id="0">
    <w:p w:rsidR="00000000" w:rsidRDefault="00930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E7993"/>
    <w:rsid w:val="003E7993"/>
    <w:rsid w:val="00930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F1AC220-03C3-49A3-B5D6-88495B73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style>
  <w:style w:type="paragraph" w:customStyle="1" w:styleId="tableGroupe">
    <w:name w:val="tableGroupe"/>
    <w:qFormat/>
  </w:style>
  <w:style w:type="paragraph" w:customStyle="1" w:styleId="PiedDePage">
    <w:name w:val="PiedDePage"/>
    <w:basedOn w:val="Normal"/>
    <w:next w:val="Normal"/>
    <w:qFormat/>
    <w:rPr>
      <w:rFonts w:ascii="Trebuchet MS" w:eastAsia="Trebuchet MS" w:hAnsi="Trebuchet MS" w:cs="Trebuchet MS"/>
      <w:sz w:val="18"/>
    </w:rPr>
  </w:style>
  <w:style w:type="paragraph" w:customStyle="1" w:styleId="ParagrapheIndent2">
    <w:name w:val="ParagrapheIndent2"/>
    <w:basedOn w:val="Normal"/>
    <w:next w:val="Normal"/>
    <w:qFormat/>
    <w:rPr>
      <w:rFonts w:ascii="Trebuchet MS" w:eastAsia="Trebuchet MS" w:hAnsi="Trebuchet MS" w:cs="Trebuchet MS"/>
      <w:sz w:val="20"/>
    </w:rPr>
  </w:style>
  <w:style w:type="paragraph" w:customStyle="1" w:styleId="style1">
    <w:name w:val="style1"/>
    <w:basedOn w:val="Normal"/>
    <w:next w:val="Normal"/>
    <w:qFormat/>
    <w:rPr>
      <w:rFonts w:ascii="Trebuchet MS" w:eastAsia="Trebuchet MS" w:hAnsi="Trebuchet MS" w:cs="Trebuchet MS"/>
      <w:sz w:val="20"/>
    </w:rPr>
  </w:style>
  <w:style w:type="paragraph" w:customStyle="1" w:styleId="Valign">
    <w:name w:val="Valign"/>
    <w:basedOn w:val="Normal"/>
    <w:next w:val="Normal"/>
    <w:qFormat/>
    <w:rPr>
      <w:rFonts w:ascii="Trebuchet MS" w:eastAsia="Trebuchet MS" w:hAnsi="Trebuchet MS" w:cs="Trebuchet MS"/>
      <w:sz w:val="20"/>
    </w:rPr>
  </w:style>
  <w:style w:type="paragraph" w:customStyle="1" w:styleId="tableCF">
    <w:name w:val="table CF"/>
    <w:basedOn w:val="Normal"/>
    <w:next w:val="Normal"/>
    <w:qFormat/>
    <w:rPr>
      <w:rFonts w:ascii="Trebuchet MS" w:eastAsia="Trebuchet MS" w:hAnsi="Trebuchet MS" w:cs="Trebuchet MS"/>
      <w:b/>
      <w:sz w:val="20"/>
    </w:rPr>
  </w:style>
  <w:style w:type="paragraph" w:customStyle="1" w:styleId="tableCH">
    <w:name w:val="table CH"/>
    <w:basedOn w:val="Normal"/>
    <w:next w:val="Normal"/>
    <w:qFormat/>
    <w:rPr>
      <w:rFonts w:ascii="Trebuchet MS" w:eastAsia="Trebuchet MS" w:hAnsi="Trebuchet MS" w:cs="Trebuchet MS"/>
      <w:b/>
      <w:sz w:val="20"/>
    </w:rPr>
  </w:style>
  <w:style w:type="paragraph" w:customStyle="1" w:styleId="tableTD">
    <w:name w:val="table TD"/>
    <w:basedOn w:val="Normal"/>
    <w:next w:val="Normal"/>
    <w:qFormat/>
    <w:rPr>
      <w:rFonts w:ascii="Trebuchet MS" w:eastAsia="Trebuchet MS" w:hAnsi="Trebuchet MS" w:cs="Trebuchet MS"/>
      <w:sz w:val="20"/>
    </w:rPr>
  </w:style>
  <w:style w:type="paragraph" w:customStyle="1" w:styleId="ParagrapheIndent1">
    <w:name w:val="ParagrapheIndent1"/>
    <w:basedOn w:val="Normal"/>
    <w:next w:val="Normal"/>
    <w:qFormat/>
    <w:rPr>
      <w:rFonts w:ascii="Trebuchet MS" w:eastAsia="Trebuchet MS" w:hAnsi="Trebuchet MS" w:cs="Trebuchet MS"/>
      <w:sz w:val="20"/>
    </w:rPr>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 Bossy</cp:lastModifiedBy>
  <cp:revision>2</cp:revision>
  <dcterms:created xsi:type="dcterms:W3CDTF">2020-03-18T13:35:00Z</dcterms:created>
  <dcterms:modified xsi:type="dcterms:W3CDTF">2020-03-18T13:35:00Z</dcterms:modified>
</cp:coreProperties>
</file>